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FFB" w:rsidRPr="00A73F21" w:rsidRDefault="00AC2FFB" w:rsidP="00AF40B0">
      <w:pPr>
        <w:tabs>
          <w:tab w:val="right" w:pos="4298"/>
        </w:tabs>
        <w:bidi w:val="0"/>
        <w:ind w:left="-1" w:firstLine="1"/>
        <w:jc w:val="center"/>
      </w:pPr>
      <w:r w:rsidRPr="00A73F21">
        <w:t>Chapter One</w:t>
      </w:r>
    </w:p>
    <w:p w:rsidR="00AC2FFB" w:rsidRPr="00A73F21" w:rsidRDefault="00AC2FFB" w:rsidP="00AF40B0">
      <w:pPr>
        <w:pStyle w:val="BodyText"/>
        <w:tabs>
          <w:tab w:val="right" w:pos="4298"/>
        </w:tabs>
        <w:bidi w:val="0"/>
        <w:jc w:val="center"/>
        <w:rPr>
          <w:rFonts w:cs="Times New Roman"/>
          <w:szCs w:val="24"/>
          <w:rtl/>
        </w:rPr>
      </w:pPr>
    </w:p>
    <w:p w:rsidR="00451EFC" w:rsidRDefault="0041790A" w:rsidP="002D1552">
      <w:pPr>
        <w:pStyle w:val="BodyText"/>
        <w:tabs>
          <w:tab w:val="right" w:pos="4298"/>
        </w:tabs>
        <w:bidi w:val="0"/>
        <w:jc w:val="center"/>
        <w:rPr>
          <w:rFonts w:cs="Times New Roman"/>
          <w:b/>
          <w:bCs/>
          <w:sz w:val="28"/>
          <w:szCs w:val="28"/>
        </w:rPr>
      </w:pPr>
      <w:r>
        <w:rPr>
          <w:rFonts w:cs="Times New Roman"/>
          <w:b/>
          <w:bCs/>
          <w:sz w:val="28"/>
          <w:szCs w:val="28"/>
        </w:rPr>
        <w:t>Terms</w:t>
      </w:r>
      <w:r w:rsidR="002D1552">
        <w:rPr>
          <w:rFonts w:cs="Times New Roman"/>
          <w:b/>
          <w:bCs/>
          <w:sz w:val="28"/>
          <w:szCs w:val="28"/>
        </w:rPr>
        <w:t xml:space="preserve"> and</w:t>
      </w:r>
      <w:r>
        <w:rPr>
          <w:rFonts w:cs="Times New Roman"/>
          <w:b/>
          <w:bCs/>
          <w:sz w:val="28"/>
          <w:szCs w:val="28"/>
        </w:rPr>
        <w:t xml:space="preserve"> Indicators</w:t>
      </w:r>
    </w:p>
    <w:p w:rsidR="00E470B6" w:rsidRPr="00E470B6" w:rsidRDefault="00E470B6" w:rsidP="00E470B6">
      <w:pPr>
        <w:pStyle w:val="BodyText"/>
        <w:tabs>
          <w:tab w:val="right" w:pos="4298"/>
        </w:tabs>
        <w:bidi w:val="0"/>
        <w:jc w:val="center"/>
        <w:rPr>
          <w:rFonts w:cs="Times New Roman"/>
          <w:b/>
          <w:bCs/>
          <w:sz w:val="28"/>
          <w:szCs w:val="28"/>
        </w:rPr>
      </w:pPr>
    </w:p>
    <w:p w:rsidR="00451EFC" w:rsidRPr="00A73F21" w:rsidRDefault="00451EFC" w:rsidP="00AF40B0">
      <w:pPr>
        <w:tabs>
          <w:tab w:val="right" w:pos="4298"/>
        </w:tabs>
        <w:bidi w:val="0"/>
        <w:jc w:val="both"/>
        <w:rPr>
          <w:color w:val="0000FF"/>
        </w:rPr>
      </w:pPr>
      <w:r w:rsidRPr="00A73F21">
        <w:rPr>
          <w:lang w:eastAsia="en-US"/>
        </w:rPr>
        <w:t>The following terms</w:t>
      </w:r>
      <w:r w:rsidRPr="00A73F21">
        <w:t xml:space="preserve"> </w:t>
      </w:r>
      <w:r w:rsidRPr="00A73F21">
        <w:rPr>
          <w:lang w:eastAsia="en-US"/>
        </w:rPr>
        <w:t>used in this report are defined in accordance with the glossary and guide statistical indicators issued by PCBS, certified on the latest international recommendations in statistics, and consistent with international systems.</w:t>
      </w:r>
    </w:p>
    <w:p w:rsidR="00AC2FFB" w:rsidRPr="00EF448A" w:rsidRDefault="00AC2FFB" w:rsidP="00AF40B0">
      <w:pPr>
        <w:bidi w:val="0"/>
        <w:rPr>
          <w:rFonts w:cs="Traditional Arabic"/>
          <w:sz w:val="16"/>
          <w:szCs w:val="16"/>
          <w:lang w:eastAsia="en-US"/>
        </w:rPr>
      </w:pPr>
    </w:p>
    <w:p w:rsidR="00451EFC" w:rsidRPr="00A73F21" w:rsidRDefault="00451EFC" w:rsidP="00AF40B0">
      <w:pPr>
        <w:bidi w:val="0"/>
        <w:jc w:val="both"/>
        <w:rPr>
          <w:b/>
          <w:bCs/>
        </w:rPr>
      </w:pPr>
      <w:r w:rsidRPr="00A73F21">
        <w:rPr>
          <w:b/>
          <w:bCs/>
        </w:rPr>
        <w:t>Household:</w:t>
      </w:r>
    </w:p>
    <w:p w:rsidR="00E470B6" w:rsidRDefault="00E470B6" w:rsidP="00E470B6">
      <w:pPr>
        <w:bidi w:val="0"/>
        <w:jc w:val="both"/>
      </w:pPr>
      <w:r w:rsidRPr="007B10B6">
        <w:t>One person or a group of persons with or without a household relationship, who live in the same housing unit, share meals and make joint provision of food and other essentials of living.</w:t>
      </w:r>
    </w:p>
    <w:p w:rsidR="00AC2FFB" w:rsidRPr="00EF448A" w:rsidRDefault="00AC2FFB" w:rsidP="00AF40B0">
      <w:pPr>
        <w:bidi w:val="0"/>
        <w:rPr>
          <w:rFonts w:cs="Traditional Arabic"/>
          <w:sz w:val="16"/>
          <w:szCs w:val="16"/>
          <w:lang w:eastAsia="en-US"/>
        </w:rPr>
      </w:pPr>
    </w:p>
    <w:p w:rsidR="00E470B6" w:rsidRPr="00E470B6" w:rsidRDefault="00E470B6" w:rsidP="00AF40B0">
      <w:pPr>
        <w:bidi w:val="0"/>
        <w:jc w:val="both"/>
        <w:rPr>
          <w:b/>
          <w:bCs/>
        </w:rPr>
      </w:pPr>
      <w:r w:rsidRPr="00E470B6">
        <w:rPr>
          <w:b/>
          <w:bCs/>
        </w:rPr>
        <w:t>Household Membership:</w:t>
      </w:r>
    </w:p>
    <w:p w:rsidR="00C52202" w:rsidRPr="00A73F21" w:rsidRDefault="00E470B6" w:rsidP="00E470B6">
      <w:pPr>
        <w:bidi w:val="0"/>
        <w:jc w:val="both"/>
      </w:pPr>
      <w:r w:rsidRPr="00E470B6">
        <w:t>Persons staying in the dwelling unit are considered members of the household if the dwelling unit is their usual or only place of residence.</w:t>
      </w:r>
      <w:r w:rsidR="00C52202" w:rsidRPr="00A73F21">
        <w:t xml:space="preserve"> </w:t>
      </w:r>
    </w:p>
    <w:p w:rsidR="00C52202" w:rsidRPr="00E470B6" w:rsidRDefault="00C52202" w:rsidP="00AF40B0">
      <w:pPr>
        <w:bidi w:val="0"/>
      </w:pPr>
    </w:p>
    <w:p w:rsidR="00451EFC" w:rsidRPr="00A73F21" w:rsidRDefault="00451EFC" w:rsidP="00AF40B0">
      <w:pPr>
        <w:bidi w:val="0"/>
        <w:jc w:val="both"/>
        <w:rPr>
          <w:b/>
          <w:bCs/>
        </w:rPr>
      </w:pPr>
      <w:r w:rsidRPr="00A73F21">
        <w:rPr>
          <w:b/>
          <w:bCs/>
        </w:rPr>
        <w:t>Age in Completed Years:</w:t>
      </w:r>
    </w:p>
    <w:p w:rsidR="00451EFC" w:rsidRPr="00A73F21" w:rsidRDefault="00451EFC" w:rsidP="00AF40B0">
      <w:pPr>
        <w:bidi w:val="0"/>
        <w:jc w:val="both"/>
      </w:pPr>
      <w:r w:rsidRPr="00A73F21">
        <w:t>The completed age in years of the person enumerated, which is the difference between the date of birth and the census reference period.</w:t>
      </w:r>
    </w:p>
    <w:p w:rsidR="00451EFC" w:rsidRPr="00EF448A" w:rsidRDefault="00451EFC" w:rsidP="00AF40B0">
      <w:pPr>
        <w:bidi w:val="0"/>
        <w:rPr>
          <w:rFonts w:cs="Traditional Arabic"/>
          <w:sz w:val="16"/>
          <w:szCs w:val="16"/>
          <w:lang w:eastAsia="en-US"/>
        </w:rPr>
      </w:pPr>
    </w:p>
    <w:p w:rsidR="00451EFC" w:rsidRPr="00A73F21" w:rsidRDefault="00451EFC" w:rsidP="00AF40B0">
      <w:pPr>
        <w:bidi w:val="0"/>
        <w:jc w:val="both"/>
        <w:rPr>
          <w:b/>
          <w:bCs/>
        </w:rPr>
      </w:pPr>
      <w:r w:rsidRPr="00A73F21">
        <w:rPr>
          <w:b/>
          <w:bCs/>
        </w:rPr>
        <w:t>Marital Status:</w:t>
      </w:r>
    </w:p>
    <w:p w:rsidR="00451EFC" w:rsidRPr="00A73F21" w:rsidRDefault="00451EFC" w:rsidP="00AF40B0">
      <w:pPr>
        <w:bidi w:val="0"/>
        <w:jc w:val="both"/>
      </w:pPr>
      <w:r w:rsidRPr="00A73F21">
        <w:t>The status of those aged 14 years and over in terms of marriage traditions and laws in the country.</w:t>
      </w:r>
    </w:p>
    <w:p w:rsidR="00451EFC" w:rsidRPr="00A73F21" w:rsidRDefault="00451EFC" w:rsidP="00AF40B0">
      <w:pPr>
        <w:bidi w:val="0"/>
      </w:pPr>
      <w:r w:rsidRPr="00A73F21">
        <w:t>May be one of the following cases:</w:t>
      </w:r>
    </w:p>
    <w:p w:rsidR="00451EFC" w:rsidRPr="00A73F21" w:rsidRDefault="00451EFC" w:rsidP="00AF40B0">
      <w:pPr>
        <w:numPr>
          <w:ilvl w:val="0"/>
          <w:numId w:val="8"/>
        </w:numPr>
        <w:tabs>
          <w:tab w:val="clear" w:pos="720"/>
        </w:tabs>
        <w:bidi w:val="0"/>
        <w:ind w:left="567" w:right="0" w:hanging="425"/>
        <w:jc w:val="both"/>
      </w:pPr>
      <w:r w:rsidRPr="00A73F21">
        <w:rPr>
          <w:b/>
          <w:bCs/>
        </w:rPr>
        <w:t>Never married:</w:t>
      </w:r>
      <w:r w:rsidRPr="00A73F21">
        <w:t xml:space="preserve"> It applies if the person aged 14 years has not been married or. Legally engaged (according to customs and traditions applicable in the country).</w:t>
      </w:r>
    </w:p>
    <w:p w:rsidR="00451EFC" w:rsidRPr="00A73F21" w:rsidRDefault="00451EFC" w:rsidP="00AF40B0">
      <w:pPr>
        <w:numPr>
          <w:ilvl w:val="0"/>
          <w:numId w:val="8"/>
        </w:numPr>
        <w:tabs>
          <w:tab w:val="clear" w:pos="720"/>
        </w:tabs>
        <w:bidi w:val="0"/>
        <w:ind w:left="567" w:right="0" w:hanging="425"/>
        <w:jc w:val="both"/>
      </w:pPr>
      <w:r w:rsidRPr="00A73F21">
        <w:rPr>
          <w:b/>
          <w:bCs/>
        </w:rPr>
        <w:t xml:space="preserve">Legally engaged: </w:t>
      </w:r>
      <w:r w:rsidRPr="00A73F21">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51EFC" w:rsidRPr="00A73F21" w:rsidRDefault="00451EFC" w:rsidP="00AF40B0">
      <w:pPr>
        <w:numPr>
          <w:ilvl w:val="0"/>
          <w:numId w:val="8"/>
        </w:numPr>
        <w:tabs>
          <w:tab w:val="clear" w:pos="720"/>
        </w:tabs>
        <w:bidi w:val="0"/>
        <w:ind w:left="567" w:right="0" w:hanging="425"/>
        <w:jc w:val="both"/>
      </w:pPr>
      <w:r w:rsidRPr="00A73F21">
        <w:rPr>
          <w:b/>
          <w:bCs/>
        </w:rPr>
        <w:t xml:space="preserve">Married: </w:t>
      </w:r>
      <w:r w:rsidRPr="00A73F21">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51EFC" w:rsidRPr="00A73F21" w:rsidRDefault="00451EFC" w:rsidP="00AF40B0">
      <w:pPr>
        <w:numPr>
          <w:ilvl w:val="0"/>
          <w:numId w:val="8"/>
        </w:numPr>
        <w:tabs>
          <w:tab w:val="clear" w:pos="720"/>
        </w:tabs>
        <w:bidi w:val="0"/>
        <w:ind w:left="567" w:right="0" w:hanging="425"/>
        <w:jc w:val="both"/>
      </w:pPr>
      <w:r w:rsidRPr="00A73F21">
        <w:rPr>
          <w:b/>
          <w:bCs/>
        </w:rPr>
        <w:t xml:space="preserve">Divorced: </w:t>
      </w:r>
      <w:r w:rsidRPr="00A73F21">
        <w:t>The person aged 14 years who previously married and legally divorced but was not married again.</w:t>
      </w:r>
    </w:p>
    <w:p w:rsidR="00451EFC" w:rsidRPr="00A73F21" w:rsidRDefault="00451EFC" w:rsidP="00AF40B0">
      <w:pPr>
        <w:numPr>
          <w:ilvl w:val="0"/>
          <w:numId w:val="8"/>
        </w:numPr>
        <w:tabs>
          <w:tab w:val="clear" w:pos="720"/>
        </w:tabs>
        <w:bidi w:val="0"/>
        <w:ind w:left="567" w:right="0" w:hanging="425"/>
        <w:jc w:val="both"/>
      </w:pPr>
      <w:r w:rsidRPr="00A73F21">
        <w:rPr>
          <w:b/>
          <w:bCs/>
        </w:rPr>
        <w:t>Widowed</w:t>
      </w:r>
      <w:r w:rsidRPr="00A73F21">
        <w:t>: The married person aged 14 years whose marriage was split by the death of the spouse and was not married again.</w:t>
      </w:r>
    </w:p>
    <w:p w:rsidR="00451EFC" w:rsidRPr="00A73F21" w:rsidRDefault="00451EFC" w:rsidP="00AF40B0">
      <w:pPr>
        <w:numPr>
          <w:ilvl w:val="0"/>
          <w:numId w:val="8"/>
        </w:numPr>
        <w:tabs>
          <w:tab w:val="clear" w:pos="720"/>
        </w:tabs>
        <w:bidi w:val="0"/>
        <w:ind w:left="567" w:right="0" w:hanging="425"/>
        <w:jc w:val="both"/>
      </w:pPr>
      <w:r w:rsidRPr="00A73F21">
        <w:rPr>
          <w:b/>
          <w:bCs/>
        </w:rPr>
        <w:t>Separated:</w:t>
      </w:r>
      <w:r w:rsidRPr="00A73F21">
        <w:t xml:space="preserve"> The individual 14 years old and over who was married, but his/her marriage was revoked for some reason without any legal or official registration, and he/she did not marry again. </w:t>
      </w:r>
    </w:p>
    <w:p w:rsidR="00451EFC" w:rsidRPr="00A73F21" w:rsidRDefault="00451EFC" w:rsidP="00AF40B0">
      <w:pPr>
        <w:bidi w:val="0"/>
        <w:jc w:val="both"/>
      </w:pPr>
      <w:r w:rsidRPr="00A73F21">
        <w:rPr>
          <w:b/>
          <w:bCs/>
        </w:rPr>
        <w:t>Illiterate:</w:t>
      </w:r>
      <w:r w:rsidRPr="00A73F21">
        <w:t xml:space="preserve"> It applies to persons unable to read or write in any language and who were never awarded a certificate from any formal education system.</w:t>
      </w:r>
    </w:p>
    <w:p w:rsidR="00451EFC" w:rsidRPr="00EF448A" w:rsidRDefault="00451EFC" w:rsidP="00AF40B0">
      <w:pPr>
        <w:pStyle w:val="BodyText2"/>
        <w:bidi w:val="0"/>
        <w:jc w:val="left"/>
        <w:rPr>
          <w:sz w:val="16"/>
          <w:szCs w:val="16"/>
        </w:rPr>
      </w:pPr>
    </w:p>
    <w:p w:rsidR="00FE5C1A" w:rsidRPr="00A73F21" w:rsidRDefault="00451EFC" w:rsidP="00AF40B0">
      <w:pPr>
        <w:bidi w:val="0"/>
        <w:ind w:right="-108"/>
      </w:pPr>
      <w:r w:rsidRPr="00A73F21">
        <w:rPr>
          <w:b/>
          <w:bCs/>
        </w:rPr>
        <w:t>Can Read and Write:</w:t>
      </w:r>
      <w:r w:rsidRPr="00A73F21">
        <w:t xml:space="preserve"> </w:t>
      </w:r>
    </w:p>
    <w:p w:rsidR="00451EFC" w:rsidRPr="00A73F21" w:rsidRDefault="00451EFC" w:rsidP="00AF40B0">
      <w:pPr>
        <w:bidi w:val="0"/>
        <w:ind w:right="-108"/>
      </w:pPr>
      <w:r w:rsidRPr="00A73F21">
        <w:t>It applies to persons who are able to read and write without completing any of the educational stages. Such persons are generally able to read and write simple sentences.</w:t>
      </w:r>
    </w:p>
    <w:p w:rsidR="00451EFC" w:rsidRPr="00EF448A" w:rsidRDefault="00451EFC" w:rsidP="00AF40B0">
      <w:pPr>
        <w:bidi w:val="0"/>
        <w:rPr>
          <w:rFonts w:cs="Traditional Arabic"/>
          <w:sz w:val="16"/>
          <w:szCs w:val="16"/>
          <w:lang w:eastAsia="en-US"/>
        </w:rPr>
      </w:pPr>
    </w:p>
    <w:p w:rsidR="00C16031" w:rsidRDefault="00C16031" w:rsidP="00AF40B0">
      <w:pPr>
        <w:bidi w:val="0"/>
        <w:rPr>
          <w:b/>
          <w:bCs/>
        </w:rPr>
      </w:pPr>
    </w:p>
    <w:p w:rsidR="00C16031" w:rsidRDefault="00C16031" w:rsidP="00C16031">
      <w:pPr>
        <w:bidi w:val="0"/>
        <w:rPr>
          <w:b/>
          <w:bCs/>
        </w:rPr>
      </w:pPr>
    </w:p>
    <w:p w:rsidR="00C16031" w:rsidRDefault="00C16031" w:rsidP="00C16031">
      <w:pPr>
        <w:bidi w:val="0"/>
        <w:rPr>
          <w:b/>
          <w:bCs/>
        </w:rPr>
      </w:pPr>
    </w:p>
    <w:p w:rsidR="00451EFC" w:rsidRPr="00A73F21" w:rsidRDefault="00FE5C1A" w:rsidP="00C16031">
      <w:pPr>
        <w:bidi w:val="0"/>
        <w:rPr>
          <w:b/>
          <w:bCs/>
          <w:rtl/>
        </w:rPr>
      </w:pPr>
      <w:r w:rsidRPr="00A73F21">
        <w:rPr>
          <w:b/>
          <w:bCs/>
        </w:rPr>
        <w:lastRenderedPageBreak/>
        <w:t>Locality</w:t>
      </w:r>
      <w:r w:rsidR="002E18C9">
        <w:rPr>
          <w:b/>
          <w:bCs/>
        </w:rPr>
        <w:t>:</w:t>
      </w:r>
    </w:p>
    <w:p w:rsidR="00FE5C1A" w:rsidRPr="00A73F21" w:rsidRDefault="00FE5C1A" w:rsidP="00AF40B0">
      <w:pPr>
        <w:bidi w:val="0"/>
      </w:pPr>
      <w:r w:rsidRPr="00A73F21">
        <w:t>A permanently inhabited place, which has an independent municipal administration or a permanently inhabited, separated place not included within the formal boundaries of another locality and not have an independent administrative authority.</w:t>
      </w:r>
    </w:p>
    <w:p w:rsidR="00451EFC" w:rsidRPr="00EF448A" w:rsidRDefault="00451EFC" w:rsidP="00AF40B0">
      <w:pPr>
        <w:bidi w:val="0"/>
        <w:rPr>
          <w:rFonts w:cs="Traditional Arabic"/>
          <w:sz w:val="16"/>
          <w:szCs w:val="16"/>
          <w:rtl/>
          <w:lang w:eastAsia="en-US"/>
        </w:rPr>
      </w:pPr>
    </w:p>
    <w:p w:rsidR="00451EFC" w:rsidRPr="00A73F21" w:rsidRDefault="00B64A7F" w:rsidP="00AF40B0">
      <w:pPr>
        <w:bidi w:val="0"/>
        <w:jc w:val="lowKashida"/>
        <w:rPr>
          <w:b/>
          <w:bCs/>
        </w:rPr>
      </w:pPr>
      <w:r w:rsidRPr="00A73F21">
        <w:rPr>
          <w:b/>
          <w:bCs/>
        </w:rPr>
        <w:t>Current Usual Place of Residence:</w:t>
      </w:r>
    </w:p>
    <w:p w:rsidR="00B64A7F" w:rsidRPr="00A73F21" w:rsidRDefault="00B64A7F" w:rsidP="00AF40B0">
      <w:pPr>
        <w:bidi w:val="0"/>
        <w:jc w:val="lowKashida"/>
        <w:rPr>
          <w:rtl/>
        </w:rPr>
      </w:pPr>
      <w:r w:rsidRPr="00A73F21">
        <w:t>It is the name of the locality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w:t>
      </w:r>
    </w:p>
    <w:p w:rsidR="00B64A7F" w:rsidRPr="00EF448A" w:rsidRDefault="00B64A7F" w:rsidP="00AF40B0">
      <w:pPr>
        <w:bidi w:val="0"/>
        <w:jc w:val="lowKashida"/>
        <w:rPr>
          <w:b/>
          <w:bCs/>
          <w:sz w:val="16"/>
          <w:szCs w:val="16"/>
          <w:rtl/>
        </w:rPr>
      </w:pPr>
    </w:p>
    <w:p w:rsidR="00451EFC" w:rsidRPr="00A73F21" w:rsidRDefault="00E03CBE" w:rsidP="00AF40B0">
      <w:pPr>
        <w:bidi w:val="0"/>
        <w:jc w:val="lowKashida"/>
        <w:rPr>
          <w:b/>
          <w:bCs/>
        </w:rPr>
      </w:pPr>
      <w:r w:rsidRPr="00A73F21">
        <w:rPr>
          <w:b/>
          <w:bCs/>
        </w:rPr>
        <w:t>Work:</w:t>
      </w:r>
    </w:p>
    <w:p w:rsidR="00E03CBE" w:rsidRPr="00A73F21" w:rsidRDefault="00E03CBE" w:rsidP="00AF40B0">
      <w:pPr>
        <w:bidi w:val="0"/>
        <w:rPr>
          <w:rtl/>
        </w:rPr>
      </w:pPr>
      <w:r w:rsidRPr="00A73F21">
        <w:t>All activities performed by persons in order to gain profit or wage either monthly wage, weekly, daily, on piece for profit or family gain, in cash or in kind. One hour or more of such activity constitutes work. Work also includes unpaid activity on a family farm or business.</w:t>
      </w:r>
    </w:p>
    <w:p w:rsidR="00451EFC" w:rsidRPr="00EF448A" w:rsidRDefault="00451EFC" w:rsidP="00AF40B0">
      <w:pPr>
        <w:bidi w:val="0"/>
        <w:rPr>
          <w:rFonts w:cs="Traditional Arabic"/>
          <w:sz w:val="16"/>
          <w:szCs w:val="16"/>
          <w:lang w:eastAsia="en-US"/>
        </w:rPr>
      </w:pPr>
    </w:p>
    <w:p w:rsidR="00451EFC" w:rsidRPr="00A73F21" w:rsidRDefault="00451EFC" w:rsidP="00AF40B0">
      <w:pPr>
        <w:bidi w:val="0"/>
        <w:jc w:val="lowKashida"/>
        <w:rPr>
          <w:b/>
          <w:bCs/>
        </w:rPr>
      </w:pPr>
      <w:r w:rsidRPr="00A73F21">
        <w:rPr>
          <w:b/>
          <w:bCs/>
        </w:rPr>
        <w:t>Employed:</w:t>
      </w:r>
    </w:p>
    <w:p w:rsidR="00451EFC" w:rsidRPr="00A73F21" w:rsidRDefault="00451EFC" w:rsidP="00AF40B0">
      <w:pPr>
        <w:bidi w:val="0"/>
        <w:jc w:val="lowKashida"/>
      </w:pPr>
      <w:r w:rsidRPr="00A73F21">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451EFC" w:rsidRPr="00EF448A" w:rsidRDefault="00451EFC" w:rsidP="00AF40B0">
      <w:pPr>
        <w:bidi w:val="0"/>
        <w:rPr>
          <w:rFonts w:cs="Traditional Arabic"/>
          <w:sz w:val="16"/>
          <w:szCs w:val="16"/>
          <w:lang w:eastAsia="en-US"/>
        </w:rPr>
      </w:pPr>
    </w:p>
    <w:p w:rsidR="00C52202" w:rsidRPr="00A73F21" w:rsidRDefault="00C52202" w:rsidP="00AF40B0">
      <w:pPr>
        <w:bidi w:val="0"/>
        <w:rPr>
          <w:b/>
          <w:bCs/>
        </w:rPr>
      </w:pPr>
      <w:r w:rsidRPr="00A73F21">
        <w:rPr>
          <w:b/>
          <w:bCs/>
        </w:rPr>
        <w:t xml:space="preserve">Rule of Law: </w:t>
      </w:r>
    </w:p>
    <w:p w:rsidR="00C52202" w:rsidRPr="00A73F21" w:rsidRDefault="00C52202" w:rsidP="00AF40B0">
      <w:pPr>
        <w:bidi w:val="0"/>
        <w:jc w:val="both"/>
      </w:pPr>
      <w:r w:rsidRPr="00A73F21">
        <w:t xml:space="preserve">Law is considered as a reference for everyone and its sovereignty is assured over everyone without exception. This requires the creation of a stable and developed formula of legal rule by political stability, civil peace, and building of democratic institutions that allow a peaceful and periodic rotation of power without resorting to violence. </w:t>
      </w:r>
    </w:p>
    <w:p w:rsidR="008513D8" w:rsidRPr="00EF448A" w:rsidRDefault="008513D8" w:rsidP="00AF40B0">
      <w:pPr>
        <w:bidi w:val="0"/>
        <w:jc w:val="both"/>
        <w:rPr>
          <w:sz w:val="16"/>
          <w:szCs w:val="16"/>
        </w:rPr>
      </w:pPr>
    </w:p>
    <w:p w:rsidR="008513D8" w:rsidRPr="00A73F21" w:rsidRDefault="008513D8" w:rsidP="00AF40B0">
      <w:pPr>
        <w:bidi w:val="0"/>
        <w:jc w:val="both"/>
        <w:rPr>
          <w:b/>
          <w:bCs/>
        </w:rPr>
      </w:pPr>
      <w:r w:rsidRPr="00A73F21">
        <w:rPr>
          <w:b/>
          <w:bCs/>
        </w:rPr>
        <w:t>Tribal Justice:</w:t>
      </w:r>
    </w:p>
    <w:p w:rsidR="008513D8" w:rsidRPr="00A73F21" w:rsidRDefault="008513D8" w:rsidP="00AF40B0">
      <w:pPr>
        <w:bidi w:val="0"/>
        <w:jc w:val="both"/>
        <w:rPr>
          <w:rtl/>
        </w:rPr>
      </w:pPr>
      <w:r w:rsidRPr="00A73F21">
        <w:t xml:space="preserve">Informal way to resolve disputes between citizens outside the regular courts. This judgment derives its provisions from the tribal traditions prevailing in the region in which it is practiced and derived from the Palestinian historical, social and cultural heritage. This is practiced by </w:t>
      </w:r>
      <w:r w:rsidR="00DA7DF6">
        <w:t>persons</w:t>
      </w:r>
      <w:r w:rsidRPr="00A73F21">
        <w:t xml:space="preserve"> from different families with different social backgrounds.</w:t>
      </w:r>
    </w:p>
    <w:p w:rsidR="008513D8" w:rsidRPr="00EF448A" w:rsidRDefault="008513D8" w:rsidP="00AF40B0">
      <w:pPr>
        <w:bidi w:val="0"/>
        <w:rPr>
          <w:rFonts w:cs="Simplified Arabic"/>
          <w:b/>
          <w:bCs/>
          <w:sz w:val="16"/>
          <w:szCs w:val="16"/>
        </w:rPr>
      </w:pPr>
    </w:p>
    <w:p w:rsidR="008513D8" w:rsidRPr="00182DB5" w:rsidRDefault="008513D8" w:rsidP="00182DB5">
      <w:pPr>
        <w:bidi w:val="0"/>
        <w:jc w:val="both"/>
        <w:rPr>
          <w:b/>
          <w:bCs/>
          <w:rtl/>
        </w:rPr>
      </w:pPr>
      <w:r w:rsidRPr="00182DB5">
        <w:rPr>
          <w:b/>
          <w:bCs/>
        </w:rPr>
        <w:t>Legal action</w:t>
      </w:r>
      <w:r w:rsidR="002E18C9">
        <w:rPr>
          <w:b/>
          <w:bCs/>
        </w:rPr>
        <w:t>:</w:t>
      </w:r>
    </w:p>
    <w:p w:rsidR="008513D8" w:rsidRPr="00A73F21" w:rsidRDefault="008513D8" w:rsidP="00AF40B0">
      <w:pPr>
        <w:bidi w:val="0"/>
        <w:jc w:val="both"/>
      </w:pPr>
      <w:r w:rsidRPr="00A73F21">
        <w:t>The case in which one requests what he/she considers to be his or her right of another or others in the presence of the judge and is told by the plaintiff and is said to the other defendant or defendants</w:t>
      </w:r>
      <w:r w:rsidRPr="00A73F21">
        <w:rPr>
          <w:rtl/>
        </w:rPr>
        <w:t>.</w:t>
      </w:r>
    </w:p>
    <w:p w:rsidR="008513D8" w:rsidRPr="00EF448A" w:rsidRDefault="008513D8" w:rsidP="00AF40B0">
      <w:pPr>
        <w:bidi w:val="0"/>
        <w:jc w:val="both"/>
        <w:rPr>
          <w:sz w:val="16"/>
          <w:szCs w:val="16"/>
        </w:rPr>
      </w:pPr>
    </w:p>
    <w:p w:rsidR="00182DB5" w:rsidRPr="00182DB5" w:rsidRDefault="008513D8" w:rsidP="00182DB5">
      <w:pPr>
        <w:bidi w:val="0"/>
        <w:jc w:val="both"/>
      </w:pPr>
      <w:r w:rsidRPr="00182DB5">
        <w:rPr>
          <w:b/>
          <w:bCs/>
        </w:rPr>
        <w:t>Conflict:</w:t>
      </w:r>
      <w:r w:rsidR="007275F1" w:rsidRPr="00182DB5">
        <w:rPr>
          <w:b/>
          <w:bCs/>
        </w:rPr>
        <w:t xml:space="preserve"> </w:t>
      </w:r>
    </w:p>
    <w:p w:rsidR="008513D8" w:rsidRPr="00A73F21" w:rsidRDefault="008513D8" w:rsidP="00182DB5">
      <w:pPr>
        <w:bidi w:val="0"/>
        <w:jc w:val="both"/>
        <w:rPr>
          <w:rtl/>
        </w:rPr>
      </w:pPr>
      <w:r w:rsidRPr="00A73F21">
        <w:t xml:space="preserve">A particular dispute between two parties that may be </w:t>
      </w:r>
      <w:r w:rsidR="00DA7DF6">
        <w:t>persons</w:t>
      </w:r>
      <w:r w:rsidRPr="00A73F21">
        <w:t xml:space="preserve">, groups or institutions; this dispute may arise out of a conflict of interests or a particular breach of one of the rights or freedoms. The cause of the conflict may be the intrusion of the individual, institution or group of </w:t>
      </w:r>
      <w:r w:rsidR="00DA7DF6">
        <w:t>persons</w:t>
      </w:r>
      <w:r w:rsidRPr="00A73F21">
        <w:t xml:space="preserve"> into the laws in force in Palestine.</w:t>
      </w:r>
    </w:p>
    <w:p w:rsidR="00EF448A" w:rsidRPr="00EF448A" w:rsidRDefault="00EF448A" w:rsidP="00AF40B0">
      <w:pPr>
        <w:bidi w:val="0"/>
        <w:jc w:val="lowKashida"/>
        <w:rPr>
          <w:b/>
          <w:bCs/>
          <w:sz w:val="16"/>
          <w:szCs w:val="16"/>
        </w:rPr>
      </w:pPr>
    </w:p>
    <w:p w:rsidR="00EF498F" w:rsidRPr="00A73F21" w:rsidRDefault="00EF498F" w:rsidP="00EF448A">
      <w:pPr>
        <w:bidi w:val="0"/>
        <w:jc w:val="lowKashida"/>
        <w:rPr>
          <w:rFonts w:cs="Simplified Arabic"/>
          <w:b/>
          <w:bCs/>
          <w:rtl/>
        </w:rPr>
      </w:pPr>
      <w:r w:rsidRPr="00A73F21">
        <w:rPr>
          <w:b/>
          <w:bCs/>
        </w:rPr>
        <w:t>Crime</w:t>
      </w:r>
      <w:r w:rsidR="002E18C9">
        <w:rPr>
          <w:b/>
          <w:bCs/>
        </w:rPr>
        <w:t>:</w:t>
      </w:r>
    </w:p>
    <w:p w:rsidR="00EF498F" w:rsidRPr="00A73F21" w:rsidRDefault="00EF498F" w:rsidP="00AF40B0">
      <w:pPr>
        <w:bidi w:val="0"/>
        <w:jc w:val="lowKashida"/>
        <w:rPr>
          <w:rtl/>
        </w:rPr>
      </w:pPr>
      <w:r w:rsidRPr="00A73F21">
        <w:t>Any act involving a violation of the law or public rights and duties towards the state or society in general</w:t>
      </w:r>
    </w:p>
    <w:p w:rsidR="00EF498F" w:rsidRPr="00EF448A" w:rsidRDefault="00EF498F" w:rsidP="00182DB5">
      <w:pPr>
        <w:pStyle w:val="Header"/>
        <w:tabs>
          <w:tab w:val="clear" w:pos="4153"/>
          <w:tab w:val="clear" w:pos="8306"/>
        </w:tabs>
        <w:bidi w:val="0"/>
        <w:rPr>
          <w:rFonts w:cs="Simplified Arabic"/>
          <w:b/>
          <w:bCs/>
          <w:sz w:val="16"/>
          <w:szCs w:val="16"/>
          <w:rtl/>
        </w:rPr>
      </w:pPr>
    </w:p>
    <w:p w:rsidR="00C16031" w:rsidRDefault="00C16031" w:rsidP="00AF40B0">
      <w:pPr>
        <w:pStyle w:val="Header"/>
        <w:bidi w:val="0"/>
        <w:jc w:val="both"/>
        <w:rPr>
          <w:b/>
          <w:bCs/>
        </w:rPr>
      </w:pPr>
    </w:p>
    <w:p w:rsidR="008513D8" w:rsidRPr="00A73F21" w:rsidRDefault="008513D8" w:rsidP="00C16031">
      <w:pPr>
        <w:pStyle w:val="Header"/>
        <w:bidi w:val="0"/>
        <w:jc w:val="both"/>
        <w:rPr>
          <w:b/>
          <w:bCs/>
        </w:rPr>
      </w:pPr>
      <w:r w:rsidRPr="00A73F21">
        <w:rPr>
          <w:b/>
          <w:bCs/>
        </w:rPr>
        <w:lastRenderedPageBreak/>
        <w:t>Discrimination</w:t>
      </w:r>
      <w:r w:rsidRPr="00A73F21">
        <w:rPr>
          <w:b/>
          <w:bCs/>
          <w:rtl/>
        </w:rPr>
        <w:t>:</w:t>
      </w:r>
    </w:p>
    <w:p w:rsidR="008513D8" w:rsidRPr="00A73F21" w:rsidRDefault="008513D8" w:rsidP="00AF40B0">
      <w:pPr>
        <w:pStyle w:val="Header"/>
        <w:tabs>
          <w:tab w:val="clear" w:pos="4153"/>
          <w:tab w:val="clear" w:pos="8306"/>
        </w:tabs>
        <w:bidi w:val="0"/>
        <w:jc w:val="both"/>
        <w:rPr>
          <w:rtl/>
        </w:rPr>
      </w:pPr>
      <w:r w:rsidRPr="00A73F21">
        <w:t>Treating the individual less positively than others because of the way they appear or where you are from or according to your beliefs or other reasons</w:t>
      </w:r>
      <w:r w:rsidRPr="00A73F21">
        <w:rPr>
          <w:rtl/>
        </w:rPr>
        <w:t>.</w:t>
      </w:r>
    </w:p>
    <w:p w:rsidR="008513D8" w:rsidRPr="00EF448A" w:rsidRDefault="008513D8" w:rsidP="00AF40B0">
      <w:pPr>
        <w:pStyle w:val="Header"/>
        <w:tabs>
          <w:tab w:val="clear" w:pos="4153"/>
          <w:tab w:val="clear" w:pos="8306"/>
        </w:tabs>
        <w:bidi w:val="0"/>
        <w:jc w:val="both"/>
        <w:rPr>
          <w:sz w:val="16"/>
          <w:szCs w:val="16"/>
          <w:rtl/>
        </w:rPr>
      </w:pPr>
    </w:p>
    <w:p w:rsidR="008513D8" w:rsidRPr="00A73F21" w:rsidRDefault="008513D8" w:rsidP="00AF40B0">
      <w:pPr>
        <w:pStyle w:val="Header"/>
        <w:bidi w:val="0"/>
        <w:jc w:val="both"/>
        <w:rPr>
          <w:b/>
          <w:bCs/>
        </w:rPr>
      </w:pPr>
      <w:r w:rsidRPr="00A73F21">
        <w:rPr>
          <w:b/>
          <w:bCs/>
        </w:rPr>
        <w:t>Community Policing:</w:t>
      </w:r>
    </w:p>
    <w:p w:rsidR="008513D8" w:rsidRPr="00A73F21" w:rsidRDefault="008513D8" w:rsidP="00AF40B0">
      <w:pPr>
        <w:pStyle w:val="Header"/>
        <w:tabs>
          <w:tab w:val="clear" w:pos="4153"/>
          <w:tab w:val="clear" w:pos="8306"/>
        </w:tabs>
        <w:bidi w:val="0"/>
        <w:jc w:val="both"/>
        <w:rPr>
          <w:rtl/>
        </w:rPr>
      </w:pPr>
      <w:r w:rsidRPr="00A73F21">
        <w:t>A partnership and cooperation approach between the police and the community it serves, focusing on law enforcement, crime prevention and socially rejected behavior, and aims to enhance the security and safety of the community through partnership and cooperation in the provision of police services compatible with the principle of human rights.</w:t>
      </w:r>
    </w:p>
    <w:p w:rsidR="00EF498F" w:rsidRPr="00EF448A" w:rsidRDefault="00EF498F" w:rsidP="00182DB5">
      <w:pPr>
        <w:pStyle w:val="Header"/>
        <w:tabs>
          <w:tab w:val="clear" w:pos="4153"/>
          <w:tab w:val="clear" w:pos="8306"/>
        </w:tabs>
        <w:bidi w:val="0"/>
        <w:rPr>
          <w:rFonts w:cs="Simplified Arabic"/>
          <w:sz w:val="16"/>
          <w:szCs w:val="16"/>
          <w:rtl/>
        </w:rPr>
      </w:pPr>
    </w:p>
    <w:p w:rsidR="00EF498F" w:rsidRPr="00A73F21" w:rsidRDefault="00EF498F" w:rsidP="00AF40B0">
      <w:pPr>
        <w:bidi w:val="0"/>
        <w:jc w:val="lowKashida"/>
        <w:rPr>
          <w:rFonts w:cs="Simplified Arabic"/>
          <w:b/>
          <w:bCs/>
          <w:rtl/>
          <w:lang w:eastAsia="en-US"/>
        </w:rPr>
      </w:pPr>
      <w:r w:rsidRPr="00A73F21">
        <w:rPr>
          <w:b/>
          <w:bCs/>
        </w:rPr>
        <w:t>Corruption</w:t>
      </w:r>
      <w:r w:rsidR="002E18C9">
        <w:rPr>
          <w:rFonts w:cs="Simplified Arabic"/>
          <w:b/>
          <w:bCs/>
          <w:lang w:eastAsia="en-US"/>
        </w:rPr>
        <w:t>:</w:t>
      </w:r>
    </w:p>
    <w:p w:rsidR="00EF498F" w:rsidRPr="00A73F21" w:rsidRDefault="00EF498F" w:rsidP="00AF40B0">
      <w:pPr>
        <w:bidi w:val="0"/>
        <w:jc w:val="lowKashida"/>
        <w:rPr>
          <w:rtl/>
        </w:rPr>
      </w:pPr>
      <w:r w:rsidRPr="00A73F21">
        <w:t>To break a law or the regulations based on such law or to violate the approved general policies by public servants for their own or other people’s benefits, or to consciously abuse the absence of the law for such benefits. It is also work that results from the misuse or exploitation of public office to serve private purposes or obtain personal material or moral benefits</w:t>
      </w:r>
    </w:p>
    <w:p w:rsidR="00EF498F" w:rsidRPr="00EF448A" w:rsidRDefault="00EF498F" w:rsidP="00182DB5">
      <w:pPr>
        <w:bidi w:val="0"/>
        <w:rPr>
          <w:rFonts w:cs="Simplified Arabic"/>
          <w:b/>
          <w:bCs/>
          <w:sz w:val="16"/>
          <w:szCs w:val="16"/>
          <w:rtl/>
          <w:lang w:eastAsia="en-US"/>
        </w:rPr>
      </w:pPr>
    </w:p>
    <w:p w:rsidR="00EF498F" w:rsidRPr="00A73F21" w:rsidRDefault="00EF498F" w:rsidP="00AF40B0">
      <w:pPr>
        <w:bidi w:val="0"/>
        <w:jc w:val="lowKashida"/>
        <w:rPr>
          <w:rFonts w:cs="Simplified Arabic"/>
          <w:b/>
          <w:bCs/>
          <w:rtl/>
          <w:lang w:eastAsia="en-US"/>
        </w:rPr>
      </w:pPr>
      <w:r w:rsidRPr="00A73F21">
        <w:rPr>
          <w:b/>
          <w:bCs/>
        </w:rPr>
        <w:t>Wasta</w:t>
      </w:r>
      <w:r w:rsidR="002E18C9">
        <w:rPr>
          <w:rFonts w:cs="Simplified Arabic"/>
          <w:b/>
          <w:bCs/>
          <w:lang w:eastAsia="en-US"/>
        </w:rPr>
        <w:t>:</w:t>
      </w:r>
    </w:p>
    <w:p w:rsidR="00EF498F" w:rsidRPr="00A73F21" w:rsidRDefault="00EF498F" w:rsidP="00AF40B0">
      <w:pPr>
        <w:bidi w:val="0"/>
        <w:jc w:val="lowKashida"/>
      </w:pPr>
      <w:r w:rsidRPr="00A73F21">
        <w:t>Intervention on behalf of an individual or group without complying with work practices and necessary competence, such as the appointment of a person in a specific post for reasons of kinship or party affiliation despite the fact he/she is incompetent or does not deserve it</w:t>
      </w:r>
      <w:r w:rsidR="008513D8" w:rsidRPr="00A73F21">
        <w:t>.</w:t>
      </w:r>
    </w:p>
    <w:p w:rsidR="008513D8" w:rsidRPr="002E18C9" w:rsidRDefault="008513D8" w:rsidP="00AF40B0">
      <w:pPr>
        <w:bidi w:val="0"/>
        <w:jc w:val="lowKashida"/>
        <w:rPr>
          <w:sz w:val="18"/>
          <w:szCs w:val="18"/>
        </w:rPr>
      </w:pPr>
    </w:p>
    <w:p w:rsidR="008513D8" w:rsidRPr="00A73F21" w:rsidRDefault="008513D8" w:rsidP="00AF40B0">
      <w:pPr>
        <w:bidi w:val="0"/>
        <w:jc w:val="both"/>
        <w:rPr>
          <w:b/>
          <w:bCs/>
        </w:rPr>
      </w:pPr>
      <w:r w:rsidRPr="00A73F21">
        <w:rPr>
          <w:b/>
          <w:bCs/>
        </w:rPr>
        <w:t>Palestinian Legal and Judicial System "Al-muqtafi":</w:t>
      </w:r>
    </w:p>
    <w:p w:rsidR="008513D8" w:rsidRPr="00A73F21" w:rsidRDefault="008513D8" w:rsidP="00AF40B0">
      <w:pPr>
        <w:bidi w:val="0"/>
        <w:jc w:val="both"/>
      </w:pPr>
      <w:r w:rsidRPr="00A73F21">
        <w:t>It is the first legal databank of its kind in Palestine, where dozens of legal researcher and programmers has contributed to the design, development and updating at the Institute of Law (IoL) at Birzeit University for more than ten years.</w:t>
      </w:r>
    </w:p>
    <w:p w:rsidR="008513D8" w:rsidRPr="00A73F21" w:rsidRDefault="008513D8" w:rsidP="00AF40B0">
      <w:pPr>
        <w:bidi w:val="0"/>
        <w:jc w:val="lowKashida"/>
        <w:rPr>
          <w:rtl/>
        </w:rPr>
      </w:pPr>
    </w:p>
    <w:p w:rsidR="00451EFC" w:rsidRPr="00A73F21" w:rsidRDefault="00451EFC" w:rsidP="00AF40B0">
      <w:pPr>
        <w:bidi w:val="0"/>
        <w:rPr>
          <w:rFonts w:cs="Traditional Arabic"/>
          <w:lang w:eastAsia="en-US"/>
        </w:rPr>
      </w:pPr>
      <w:r w:rsidRPr="00A73F21">
        <w:rPr>
          <w:rFonts w:cs="Traditional Arabic"/>
          <w:lang w:eastAsia="en-US"/>
        </w:rPr>
        <w:br w:type="page"/>
      </w:r>
    </w:p>
    <w:p w:rsidR="00540720" w:rsidRDefault="00540720">
      <w:pPr>
        <w:bidi w:val="0"/>
        <w:rPr>
          <w:rFonts w:cs="Traditional Arabic"/>
          <w:lang w:eastAsia="en-US"/>
        </w:rPr>
      </w:pPr>
      <w:r>
        <w:rPr>
          <w:rFonts w:cs="Traditional Arabic"/>
          <w:lang w:eastAsia="en-US"/>
        </w:rPr>
        <w:lastRenderedPageBreak/>
        <w:br w:type="page"/>
      </w:r>
    </w:p>
    <w:p w:rsidR="004402A6" w:rsidRPr="00A73F21" w:rsidRDefault="004402A6" w:rsidP="00AF40B0">
      <w:pPr>
        <w:bidi w:val="0"/>
        <w:jc w:val="center"/>
        <w:rPr>
          <w:rFonts w:cs="Traditional Arabic"/>
          <w:rtl/>
          <w:lang w:eastAsia="en-US"/>
        </w:rPr>
      </w:pPr>
      <w:r w:rsidRPr="00A73F21">
        <w:rPr>
          <w:rFonts w:cs="Traditional Arabic"/>
          <w:lang w:eastAsia="en-US"/>
        </w:rPr>
        <w:lastRenderedPageBreak/>
        <w:t xml:space="preserve">Chapter </w:t>
      </w:r>
      <w:r w:rsidR="00EC1219" w:rsidRPr="00A73F21">
        <w:rPr>
          <w:rFonts w:cs="Traditional Arabic"/>
          <w:lang w:eastAsia="en-US"/>
        </w:rPr>
        <w:t>T</w:t>
      </w:r>
      <w:r w:rsidR="004F0595" w:rsidRPr="00A73F21">
        <w:rPr>
          <w:rFonts w:cs="Traditional Arabic"/>
          <w:lang w:eastAsia="en-US"/>
        </w:rPr>
        <w:t>wo</w:t>
      </w:r>
    </w:p>
    <w:p w:rsidR="004402A6" w:rsidRPr="00A73F21" w:rsidRDefault="004402A6" w:rsidP="00AF40B0">
      <w:pPr>
        <w:tabs>
          <w:tab w:val="left" w:pos="423"/>
          <w:tab w:val="left" w:pos="565"/>
        </w:tabs>
        <w:bidi w:val="0"/>
        <w:rPr>
          <w:rtl/>
        </w:rPr>
      </w:pPr>
    </w:p>
    <w:p w:rsidR="004402A6" w:rsidRPr="00A73F21" w:rsidRDefault="004402A6" w:rsidP="00AF40B0">
      <w:pPr>
        <w:tabs>
          <w:tab w:val="left" w:pos="423"/>
          <w:tab w:val="left" w:pos="565"/>
        </w:tabs>
        <w:bidi w:val="0"/>
        <w:jc w:val="center"/>
        <w:rPr>
          <w:rFonts w:cs="Traditional Arabic"/>
          <w:b/>
          <w:bCs/>
          <w:sz w:val="28"/>
          <w:lang w:eastAsia="en-US"/>
        </w:rPr>
      </w:pPr>
      <w:r w:rsidRPr="00A73F21">
        <w:rPr>
          <w:rFonts w:cs="Traditional Arabic"/>
          <w:b/>
          <w:bCs/>
          <w:sz w:val="28"/>
          <w:lang w:eastAsia="en-US"/>
        </w:rPr>
        <w:t>Main Findings</w:t>
      </w:r>
    </w:p>
    <w:p w:rsidR="004402A6" w:rsidRPr="00A73F21" w:rsidRDefault="004402A6" w:rsidP="00AF40B0">
      <w:pPr>
        <w:tabs>
          <w:tab w:val="left" w:pos="423"/>
          <w:tab w:val="left" w:pos="565"/>
        </w:tabs>
        <w:bidi w:val="0"/>
        <w:rPr>
          <w:b/>
          <w:bCs/>
          <w:rtl/>
          <w:lang w:eastAsia="en-US"/>
        </w:rPr>
      </w:pPr>
    </w:p>
    <w:p w:rsidR="00521A9B" w:rsidRPr="00462F57" w:rsidRDefault="00521A9B" w:rsidP="00AF40B0">
      <w:pPr>
        <w:bidi w:val="0"/>
        <w:jc w:val="both"/>
      </w:pPr>
      <w:r w:rsidRPr="00462F57">
        <w:t xml:space="preserve">This chapter presents a summary of the most important indicators of the rule of law and access to justice survey 2018. Those findings present the attitudes of </w:t>
      </w:r>
      <w:r w:rsidR="00DA7DF6">
        <w:t>persons</w:t>
      </w:r>
      <w:r w:rsidR="0041790A">
        <w:t xml:space="preserve"> (18 years and above) </w:t>
      </w:r>
      <w:r w:rsidRPr="00462F57">
        <w:t xml:space="preserve"> and some of their expertise towards the issues and indicators of the justice sector in Palestine, which were collected by the survey. In addition to the attitudes, opinions</w:t>
      </w:r>
      <w:r w:rsidR="0041790A">
        <w:t xml:space="preserve"> and perceptions of the judges</w:t>
      </w:r>
      <w:r w:rsidRPr="00462F57">
        <w:t>, prosecutors, practicing lawyers and trainees, law academicians and students in the Palestinian universities.</w:t>
      </w:r>
    </w:p>
    <w:p w:rsidR="00A5442E" w:rsidRDefault="00A5442E" w:rsidP="00A5442E">
      <w:pPr>
        <w:bidi w:val="0"/>
        <w:jc w:val="both"/>
      </w:pPr>
    </w:p>
    <w:p w:rsidR="00E02F3D" w:rsidRPr="00E02F3D" w:rsidRDefault="00E02F3D" w:rsidP="00E02F3D">
      <w:pPr>
        <w:bidi w:val="0"/>
        <w:jc w:val="both"/>
        <w:rPr>
          <w:b/>
          <w:bCs/>
        </w:rPr>
      </w:pPr>
      <w:r w:rsidRPr="00E02F3D">
        <w:rPr>
          <w:b/>
          <w:bCs/>
        </w:rPr>
        <w:t xml:space="preserve">2.1 Public </w:t>
      </w:r>
      <w:r w:rsidR="006976D4" w:rsidRPr="00E02F3D">
        <w:rPr>
          <w:b/>
          <w:bCs/>
        </w:rPr>
        <w:t xml:space="preserve">Perception </w:t>
      </w:r>
      <w:r w:rsidRPr="00E02F3D">
        <w:rPr>
          <w:b/>
          <w:bCs/>
        </w:rPr>
        <w:t xml:space="preserve">on </w:t>
      </w:r>
      <w:r w:rsidR="006976D4" w:rsidRPr="00E02F3D">
        <w:rPr>
          <w:b/>
          <w:bCs/>
        </w:rPr>
        <w:t xml:space="preserve">Status </w:t>
      </w:r>
      <w:r w:rsidRPr="00E02F3D">
        <w:rPr>
          <w:b/>
          <w:bCs/>
        </w:rPr>
        <w:t xml:space="preserve">of </w:t>
      </w:r>
      <w:r w:rsidR="006976D4" w:rsidRPr="00E02F3D">
        <w:rPr>
          <w:b/>
          <w:bCs/>
        </w:rPr>
        <w:t xml:space="preserve">Justice </w:t>
      </w:r>
      <w:r w:rsidRPr="00E02F3D">
        <w:rPr>
          <w:b/>
          <w:bCs/>
        </w:rPr>
        <w:t>in Palestine</w:t>
      </w:r>
    </w:p>
    <w:p w:rsidR="00E02F3D" w:rsidRPr="00462F57" w:rsidRDefault="00E02F3D" w:rsidP="00E02F3D">
      <w:pPr>
        <w:bidi w:val="0"/>
        <w:jc w:val="both"/>
      </w:pPr>
    </w:p>
    <w:tbl>
      <w:tblPr>
        <w:tblStyle w:val="TableGrid"/>
        <w:tblW w:w="9072" w:type="dxa"/>
        <w:jc w:val="center"/>
        <w:tblLook w:val="04A0"/>
      </w:tblPr>
      <w:tblGrid>
        <w:gridCol w:w="9072"/>
      </w:tblGrid>
      <w:tr w:rsidR="00A5442E" w:rsidRPr="00462F57" w:rsidTr="00A5442E">
        <w:trPr>
          <w:trHeight w:val="340"/>
          <w:jc w:val="center"/>
        </w:trPr>
        <w:tc>
          <w:tcPr>
            <w:tcW w:w="9289" w:type="dxa"/>
            <w:vAlign w:val="center"/>
          </w:tcPr>
          <w:p w:rsidR="00A5442E" w:rsidRPr="00462F57" w:rsidRDefault="00A5442E" w:rsidP="00DA7DF6">
            <w:pPr>
              <w:bidi w:val="0"/>
              <w:jc w:val="center"/>
            </w:pPr>
            <w:r w:rsidRPr="00462F57">
              <w:rPr>
                <w:b/>
                <w:bCs/>
                <w:lang w:eastAsia="en-US"/>
              </w:rPr>
              <w:t xml:space="preserve">One-fifth of the </w:t>
            </w:r>
            <w:r w:rsidR="00DA7DF6">
              <w:rPr>
                <w:b/>
                <w:bCs/>
                <w:lang w:eastAsia="en-US"/>
              </w:rPr>
              <w:t>persons</w:t>
            </w:r>
            <w:r w:rsidR="0041790A">
              <w:rPr>
                <w:b/>
                <w:bCs/>
                <w:lang w:eastAsia="en-US"/>
              </w:rPr>
              <w:t xml:space="preserve"> (18 years and above)</w:t>
            </w:r>
            <w:r w:rsidRPr="00462F57">
              <w:rPr>
                <w:b/>
                <w:bCs/>
                <w:lang w:eastAsia="en-US"/>
              </w:rPr>
              <w:t xml:space="preserve"> have approached security and justice institutions</w:t>
            </w:r>
          </w:p>
        </w:tc>
      </w:tr>
    </w:tbl>
    <w:p w:rsidR="00521A9B" w:rsidRPr="00462F57" w:rsidRDefault="00521A9B" w:rsidP="00A5442E">
      <w:pPr>
        <w:bidi w:val="0"/>
        <w:jc w:val="lowKashida"/>
        <w:rPr>
          <w:rtl/>
          <w:lang w:eastAsia="en-US"/>
        </w:rPr>
      </w:pPr>
    </w:p>
    <w:p w:rsidR="00521A9B" w:rsidRPr="005B4307" w:rsidRDefault="00521A9B" w:rsidP="006976D4">
      <w:pPr>
        <w:bidi w:val="0"/>
        <w:jc w:val="both"/>
        <w:rPr>
          <w:rFonts w:asciiTheme="majorBidi" w:hAnsiTheme="majorBidi" w:cstheme="majorBidi"/>
          <w:rtl/>
          <w:lang w:eastAsia="en-US"/>
        </w:rPr>
      </w:pPr>
      <w:r w:rsidRPr="00462F57">
        <w:rPr>
          <w:lang w:eastAsia="en-US"/>
        </w:rPr>
        <w:t xml:space="preserve">The results showed that 19.5% of the </w:t>
      </w:r>
      <w:proofErr w:type="spellStart"/>
      <w:r w:rsidRPr="00462F57">
        <w:rPr>
          <w:lang w:eastAsia="en-US"/>
        </w:rPr>
        <w:t>p</w:t>
      </w:r>
      <w:r w:rsidR="006976D4">
        <w:rPr>
          <w:lang w:eastAsia="en-US"/>
        </w:rPr>
        <w:t>esons</w:t>
      </w:r>
      <w:proofErr w:type="spellEnd"/>
      <w:r w:rsidRPr="00462F57">
        <w:rPr>
          <w:lang w:eastAsia="en-US"/>
        </w:rPr>
        <w:t xml:space="preserve"> (18 years and above) in Palestine (19.3% in the West Bank and 19.8% in Gaza Strip) who have approached one of the Palestinian security and justice institutions at least one time in the past 12 months (27.7% for males and 11.1% for females). The percentage of</w:t>
      </w:r>
      <w:r w:rsidR="00DA7DF6">
        <w:rPr>
          <w:lang w:eastAsia="en-US"/>
        </w:rPr>
        <w:t xml:space="preserve"> Persons</w:t>
      </w:r>
      <w:r w:rsidRPr="00462F57">
        <w:rPr>
          <w:lang w:eastAsia="en-US"/>
        </w:rPr>
        <w:t xml:space="preserve"> who approached the Ministry of Interior reached 8.4%, which is the highest among the security and justice institutions followed by the Palestinian police by 6.7%.</w:t>
      </w:r>
      <w:r w:rsidR="007937F2" w:rsidRPr="00462F57">
        <w:rPr>
          <w:lang w:eastAsia="en-US"/>
        </w:rPr>
        <w:t xml:space="preserve"> </w:t>
      </w:r>
      <w:r w:rsidR="007B18AD" w:rsidRPr="00462F57">
        <w:rPr>
          <w:lang w:eastAsia="en-US"/>
        </w:rPr>
        <w:t>(see table 3)</w:t>
      </w:r>
      <w:r w:rsidR="005B4307" w:rsidRPr="00462F57">
        <w:rPr>
          <w:lang w:eastAsia="en-US"/>
        </w:rPr>
        <w:t>.</w:t>
      </w:r>
    </w:p>
    <w:p w:rsidR="002260BC" w:rsidRPr="005B4307" w:rsidRDefault="00561042" w:rsidP="00561042">
      <w:pPr>
        <w:tabs>
          <w:tab w:val="left" w:pos="360"/>
        </w:tabs>
        <w:bidi w:val="0"/>
        <w:rPr>
          <w:rFonts w:asciiTheme="majorBidi" w:hAnsiTheme="majorBidi" w:cstheme="majorBidi"/>
          <w:b/>
          <w:bCs/>
          <w:sz w:val="16"/>
          <w:szCs w:val="16"/>
          <w:rtl/>
        </w:rPr>
      </w:pPr>
      <w:r w:rsidRPr="005B4307">
        <w:rPr>
          <w:rFonts w:asciiTheme="majorBidi" w:hAnsiTheme="majorBidi" w:cstheme="majorBidi"/>
          <w:b/>
          <w:bCs/>
          <w:sz w:val="16"/>
          <w:szCs w:val="16"/>
        </w:rPr>
        <w:tab/>
      </w:r>
    </w:p>
    <w:p w:rsidR="004402A6" w:rsidRPr="00A73F21" w:rsidRDefault="00433E54" w:rsidP="00DA7DF6">
      <w:pPr>
        <w:bidi w:val="0"/>
        <w:jc w:val="center"/>
        <w:rPr>
          <w:rFonts w:ascii="Arial" w:hAnsi="Arial" w:cs="Arial"/>
          <w:b/>
          <w:bCs/>
          <w:sz w:val="22"/>
          <w:szCs w:val="22"/>
        </w:rPr>
      </w:pPr>
      <w:r w:rsidRPr="00A73F21">
        <w:rPr>
          <w:rFonts w:ascii="Arial" w:hAnsi="Arial" w:cs="Arial"/>
          <w:b/>
          <w:bCs/>
          <w:sz w:val="22"/>
          <w:szCs w:val="22"/>
        </w:rPr>
        <w:t>Percentage of</w:t>
      </w:r>
      <w:r w:rsidR="00DA7DF6">
        <w:rPr>
          <w:rFonts w:ascii="Arial" w:hAnsi="Arial" w:cs="Arial"/>
          <w:b/>
          <w:bCs/>
          <w:sz w:val="22"/>
          <w:szCs w:val="22"/>
        </w:rPr>
        <w:t xml:space="preserve"> Persons</w:t>
      </w:r>
      <w:r w:rsidRPr="00A73F21">
        <w:rPr>
          <w:rFonts w:ascii="Arial" w:hAnsi="Arial" w:cs="Arial"/>
          <w:b/>
          <w:bCs/>
          <w:sz w:val="22"/>
          <w:szCs w:val="22"/>
        </w:rPr>
        <w:t xml:space="preserve"> (18 years and above) who Resorted/ Called or Interacted With the Palestinian </w:t>
      </w:r>
      <w:r w:rsidR="006B4F87" w:rsidRPr="00A73F21">
        <w:rPr>
          <w:rFonts w:ascii="Arial" w:hAnsi="Arial" w:cs="Arial"/>
          <w:b/>
          <w:bCs/>
          <w:sz w:val="22"/>
          <w:szCs w:val="22"/>
        </w:rPr>
        <w:t xml:space="preserve">Security and </w:t>
      </w:r>
      <w:r w:rsidRPr="00A73F21">
        <w:rPr>
          <w:rFonts w:ascii="Arial" w:hAnsi="Arial" w:cs="Arial"/>
          <w:b/>
          <w:bCs/>
          <w:sz w:val="22"/>
          <w:szCs w:val="22"/>
        </w:rPr>
        <w:t>Justice Sector, September-October 2018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30"/>
      </w:tblGrid>
      <w:tr w:rsidR="00B030AE" w:rsidRPr="00032A32" w:rsidTr="002B60DE">
        <w:trPr>
          <w:jc w:val="center"/>
        </w:trPr>
        <w:tc>
          <w:tcPr>
            <w:tcW w:w="8930" w:type="dxa"/>
          </w:tcPr>
          <w:p w:rsidR="00B030AE" w:rsidRPr="00032A32" w:rsidRDefault="00433E54" w:rsidP="002B60DE">
            <w:pPr>
              <w:bidi w:val="0"/>
              <w:jc w:val="center"/>
              <w:rPr>
                <w:rFonts w:asciiTheme="minorBidi" w:hAnsiTheme="minorBidi" w:cstheme="minorBidi"/>
                <w:b/>
                <w:bCs/>
                <w:sz w:val="18"/>
                <w:szCs w:val="18"/>
              </w:rPr>
            </w:pPr>
            <w:r w:rsidRPr="00032A32">
              <w:rPr>
                <w:rFonts w:asciiTheme="minorBidi" w:hAnsiTheme="minorBidi" w:cstheme="minorBidi"/>
                <w:b/>
                <w:bCs/>
                <w:noProof/>
                <w:sz w:val="18"/>
                <w:szCs w:val="18"/>
                <w:lang w:eastAsia="en-US"/>
              </w:rPr>
              <w:drawing>
                <wp:inline distT="0" distB="0" distL="0" distR="0">
                  <wp:extent cx="5494638" cy="2850292"/>
                  <wp:effectExtent l="0" t="0" r="0" b="0"/>
                  <wp:docPr id="26"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0A196B" w:rsidRDefault="000A196B" w:rsidP="00AF40B0">
      <w:pPr>
        <w:bidi w:val="0"/>
        <w:jc w:val="center"/>
        <w:rPr>
          <w:b/>
          <w:bCs/>
          <w:sz w:val="28"/>
          <w:szCs w:val="28"/>
        </w:rPr>
      </w:pPr>
    </w:p>
    <w:p w:rsidR="00FD7D95" w:rsidRDefault="00FD7D95" w:rsidP="00FD7D95">
      <w:pPr>
        <w:bidi w:val="0"/>
        <w:jc w:val="center"/>
        <w:rPr>
          <w:b/>
          <w:bCs/>
          <w:sz w:val="28"/>
          <w:szCs w:val="28"/>
        </w:rPr>
      </w:pPr>
    </w:p>
    <w:p w:rsidR="00FD7D95" w:rsidRDefault="00FD7D95" w:rsidP="00FD7D95">
      <w:pPr>
        <w:bidi w:val="0"/>
        <w:jc w:val="center"/>
        <w:rPr>
          <w:b/>
          <w:bCs/>
          <w:sz w:val="28"/>
          <w:szCs w:val="28"/>
        </w:rPr>
      </w:pPr>
    </w:p>
    <w:p w:rsidR="00FD7D95" w:rsidRDefault="00FD7D95" w:rsidP="00FD7D95">
      <w:pPr>
        <w:bidi w:val="0"/>
        <w:jc w:val="center"/>
        <w:rPr>
          <w:b/>
          <w:bCs/>
          <w:sz w:val="28"/>
          <w:szCs w:val="28"/>
        </w:rPr>
      </w:pPr>
    </w:p>
    <w:p w:rsidR="00FD7D95" w:rsidRDefault="00FD7D95" w:rsidP="00FD7D95">
      <w:pPr>
        <w:bidi w:val="0"/>
        <w:jc w:val="center"/>
        <w:rPr>
          <w:b/>
          <w:bCs/>
          <w:sz w:val="28"/>
          <w:szCs w:val="28"/>
        </w:rPr>
      </w:pPr>
    </w:p>
    <w:p w:rsidR="00FD7D95" w:rsidRDefault="00FD7D95" w:rsidP="00FD7D95">
      <w:pPr>
        <w:bidi w:val="0"/>
        <w:jc w:val="center"/>
        <w:rPr>
          <w:b/>
          <w:bCs/>
          <w:sz w:val="28"/>
          <w:szCs w:val="28"/>
        </w:rPr>
      </w:pPr>
    </w:p>
    <w:p w:rsidR="00FD7D95" w:rsidRDefault="00FD7D95" w:rsidP="00FD7D95">
      <w:pPr>
        <w:bidi w:val="0"/>
        <w:jc w:val="center"/>
        <w:rPr>
          <w:b/>
          <w:bCs/>
          <w:sz w:val="28"/>
          <w:szCs w:val="28"/>
        </w:rPr>
      </w:pPr>
    </w:p>
    <w:p w:rsidR="00FD7D95" w:rsidRPr="00B767AC" w:rsidRDefault="00FD7D95" w:rsidP="00FD7D95">
      <w:pPr>
        <w:bidi w:val="0"/>
        <w:jc w:val="center"/>
        <w:rPr>
          <w:b/>
          <w:bCs/>
          <w:sz w:val="28"/>
          <w:szCs w:val="28"/>
        </w:rPr>
      </w:pPr>
    </w:p>
    <w:tbl>
      <w:tblPr>
        <w:tblStyle w:val="TableGrid"/>
        <w:tblW w:w="9072" w:type="dxa"/>
        <w:jc w:val="center"/>
        <w:tblLook w:val="04A0"/>
      </w:tblPr>
      <w:tblGrid>
        <w:gridCol w:w="9072"/>
      </w:tblGrid>
      <w:tr w:rsidR="00032A32" w:rsidRPr="00462F57" w:rsidTr="00B767AC">
        <w:trPr>
          <w:trHeight w:val="340"/>
          <w:jc w:val="center"/>
        </w:trPr>
        <w:tc>
          <w:tcPr>
            <w:tcW w:w="9072" w:type="dxa"/>
            <w:vAlign w:val="center"/>
          </w:tcPr>
          <w:p w:rsidR="00032A32" w:rsidRPr="00462F57" w:rsidRDefault="00032A32" w:rsidP="00DA7DF6">
            <w:pPr>
              <w:bidi w:val="0"/>
              <w:jc w:val="center"/>
              <w:rPr>
                <w:lang w:eastAsia="en-US"/>
              </w:rPr>
            </w:pPr>
            <w:r w:rsidRPr="00462F57">
              <w:rPr>
                <w:b/>
                <w:bCs/>
              </w:rPr>
              <w:lastRenderedPageBreak/>
              <w:t xml:space="preserve">Four out of five </w:t>
            </w:r>
            <w:r w:rsidR="00DA7DF6">
              <w:rPr>
                <w:b/>
                <w:bCs/>
              </w:rPr>
              <w:t>persons</w:t>
            </w:r>
            <w:r w:rsidR="0041790A">
              <w:rPr>
                <w:b/>
                <w:bCs/>
              </w:rPr>
              <w:t xml:space="preserve"> (18 years and above)</w:t>
            </w:r>
            <w:r w:rsidRPr="00462F57">
              <w:rPr>
                <w:b/>
                <w:bCs/>
              </w:rPr>
              <w:t xml:space="preserve"> are satisfied with the services of Shari'a courts</w:t>
            </w:r>
          </w:p>
        </w:tc>
      </w:tr>
    </w:tbl>
    <w:p w:rsidR="00032A32" w:rsidRPr="00462F57" w:rsidRDefault="00032A32" w:rsidP="00B02D20">
      <w:pPr>
        <w:bidi w:val="0"/>
        <w:ind w:left="70"/>
        <w:jc w:val="both"/>
        <w:rPr>
          <w:lang w:eastAsia="en-US"/>
        </w:rPr>
      </w:pPr>
    </w:p>
    <w:p w:rsidR="00521A9B" w:rsidRPr="00462F57" w:rsidRDefault="00521A9B" w:rsidP="00DA7DF6">
      <w:pPr>
        <w:bidi w:val="0"/>
        <w:jc w:val="both"/>
        <w:rPr>
          <w:rtl/>
          <w:lang w:eastAsia="en-US"/>
        </w:rPr>
      </w:pPr>
      <w:r w:rsidRPr="00462F57">
        <w:rPr>
          <w:lang w:eastAsia="en-US"/>
        </w:rPr>
        <w:t xml:space="preserve">The results showed that the Shari'a courts were the most satisfied by </w:t>
      </w:r>
      <w:r w:rsidR="00DA7DF6">
        <w:rPr>
          <w:lang w:eastAsia="en-US"/>
        </w:rPr>
        <w:t>persons</w:t>
      </w:r>
      <w:r w:rsidR="0041790A">
        <w:rPr>
          <w:lang w:eastAsia="en-US"/>
        </w:rPr>
        <w:t xml:space="preserve"> (18 years and above)</w:t>
      </w:r>
      <w:r w:rsidRPr="00462F57">
        <w:rPr>
          <w:lang w:eastAsia="en-US"/>
        </w:rPr>
        <w:t xml:space="preserve"> who approached the institutions of the Palestinian justice sector (81.2% for males and 83.6% for females), followed by the tribal judiciary (72.2% for males and 75.2% for females)</w:t>
      </w:r>
      <w:r w:rsidR="006337C5" w:rsidRPr="00462F57">
        <w:rPr>
          <w:lang w:eastAsia="en-US"/>
        </w:rPr>
        <w:t>.</w:t>
      </w:r>
      <w:r w:rsidR="007937F2" w:rsidRPr="00462F57">
        <w:rPr>
          <w:lang w:eastAsia="en-US"/>
        </w:rPr>
        <w:t xml:space="preserve"> </w:t>
      </w:r>
      <w:r w:rsidR="006337C5" w:rsidRPr="00462F57">
        <w:rPr>
          <w:lang w:eastAsia="en-US"/>
        </w:rPr>
        <w:t>(see table</w:t>
      </w:r>
      <w:r w:rsidR="005B547A" w:rsidRPr="00462F57">
        <w:rPr>
          <w:lang w:eastAsia="en-US"/>
        </w:rPr>
        <w:t>s</w:t>
      </w:r>
      <w:r w:rsidR="006337C5" w:rsidRPr="00462F57">
        <w:rPr>
          <w:lang w:eastAsia="en-US"/>
        </w:rPr>
        <w:t xml:space="preserve"> </w:t>
      </w:r>
      <w:r w:rsidR="005B547A" w:rsidRPr="00462F57">
        <w:rPr>
          <w:lang w:eastAsia="en-US"/>
        </w:rPr>
        <w:t xml:space="preserve">6,7 </w:t>
      </w:r>
      <w:r w:rsidR="007937F2" w:rsidRPr="00462F57">
        <w:rPr>
          <w:lang w:eastAsia="en-US"/>
        </w:rPr>
        <w:t xml:space="preserve">and </w:t>
      </w:r>
      <w:r w:rsidR="005B547A" w:rsidRPr="00462F57">
        <w:rPr>
          <w:lang w:eastAsia="en-US"/>
        </w:rPr>
        <w:t>8</w:t>
      </w:r>
      <w:r w:rsidR="006337C5" w:rsidRPr="00462F57">
        <w:rPr>
          <w:lang w:eastAsia="en-US"/>
        </w:rPr>
        <w:t>)</w:t>
      </w:r>
      <w:r w:rsidR="005B4307" w:rsidRPr="00462F57">
        <w:rPr>
          <w:lang w:eastAsia="en-US"/>
        </w:rPr>
        <w:t>.</w:t>
      </w:r>
    </w:p>
    <w:p w:rsidR="00521A9B" w:rsidRPr="005B4307" w:rsidRDefault="00561042" w:rsidP="00561042">
      <w:pPr>
        <w:tabs>
          <w:tab w:val="left" w:pos="300"/>
          <w:tab w:val="left" w:pos="8364"/>
          <w:tab w:val="left" w:pos="8506"/>
        </w:tabs>
        <w:bidi w:val="0"/>
        <w:rPr>
          <w:rFonts w:asciiTheme="majorBidi" w:hAnsiTheme="majorBidi" w:cstheme="majorBidi"/>
          <w:sz w:val="16"/>
          <w:szCs w:val="16"/>
          <w:rtl/>
        </w:rPr>
      </w:pPr>
      <w:r w:rsidRPr="005B4307">
        <w:rPr>
          <w:rFonts w:asciiTheme="majorBidi" w:hAnsiTheme="majorBidi" w:cstheme="majorBidi"/>
        </w:rPr>
        <w:tab/>
      </w:r>
    </w:p>
    <w:p w:rsidR="004402A6" w:rsidRDefault="002810D0" w:rsidP="00FD7D95">
      <w:pPr>
        <w:bidi w:val="0"/>
        <w:jc w:val="center"/>
        <w:rPr>
          <w:rFonts w:ascii="Arial" w:hAnsi="Arial" w:cs="Arial"/>
          <w:b/>
          <w:bCs/>
          <w:sz w:val="22"/>
          <w:szCs w:val="22"/>
        </w:rPr>
      </w:pPr>
      <w:r w:rsidRPr="00A73F21">
        <w:rPr>
          <w:rFonts w:ascii="Arial" w:hAnsi="Arial" w:cs="Arial"/>
          <w:b/>
          <w:bCs/>
          <w:sz w:val="22"/>
          <w:szCs w:val="22"/>
        </w:rPr>
        <w:t xml:space="preserve">Percentage of </w:t>
      </w:r>
      <w:r w:rsidR="00F10BCF">
        <w:rPr>
          <w:rFonts w:ascii="Arial" w:hAnsi="Arial" w:cs="Arial"/>
          <w:b/>
          <w:bCs/>
          <w:sz w:val="22"/>
          <w:szCs w:val="22"/>
        </w:rPr>
        <w:t>Persons</w:t>
      </w:r>
      <w:r w:rsidR="00F10BCF" w:rsidRPr="00A73F21">
        <w:rPr>
          <w:rFonts w:ascii="Arial" w:hAnsi="Arial" w:cs="Arial"/>
          <w:b/>
          <w:bCs/>
          <w:sz w:val="22"/>
          <w:szCs w:val="22"/>
        </w:rPr>
        <w:t xml:space="preserve"> </w:t>
      </w:r>
      <w:r w:rsidRPr="00A73F21">
        <w:rPr>
          <w:rFonts w:ascii="Arial" w:hAnsi="Arial" w:cs="Arial"/>
          <w:b/>
          <w:bCs/>
          <w:sz w:val="22"/>
          <w:szCs w:val="22"/>
        </w:rPr>
        <w:t xml:space="preserve">Satisfaction </w:t>
      </w:r>
      <w:r w:rsidR="006C7CB0" w:rsidRPr="00A73F21">
        <w:rPr>
          <w:rFonts w:ascii="Arial" w:hAnsi="Arial" w:cs="Arial"/>
          <w:b/>
          <w:bCs/>
          <w:sz w:val="22"/>
          <w:szCs w:val="22"/>
        </w:rPr>
        <w:t xml:space="preserve">(18 Years and </w:t>
      </w:r>
      <w:r w:rsidR="0041790A">
        <w:rPr>
          <w:rFonts w:ascii="Arial" w:hAnsi="Arial" w:cs="Arial"/>
          <w:b/>
          <w:bCs/>
          <w:sz w:val="22"/>
          <w:szCs w:val="22"/>
        </w:rPr>
        <w:t>above</w:t>
      </w:r>
      <w:r w:rsidR="006C7CB0" w:rsidRPr="00A73F21">
        <w:rPr>
          <w:rFonts w:ascii="Arial" w:hAnsi="Arial" w:cs="Arial"/>
          <w:b/>
          <w:bCs/>
          <w:sz w:val="22"/>
          <w:szCs w:val="22"/>
        </w:rPr>
        <w:t xml:space="preserve">) </w:t>
      </w:r>
      <w:r w:rsidR="00B02D20">
        <w:rPr>
          <w:rFonts w:ascii="Arial" w:hAnsi="Arial" w:cs="Arial"/>
          <w:b/>
          <w:bCs/>
          <w:sz w:val="22"/>
          <w:szCs w:val="22"/>
        </w:rPr>
        <w:t xml:space="preserve">in Palestine </w:t>
      </w:r>
      <w:r w:rsidR="006C7CB0" w:rsidRPr="00A73F21">
        <w:rPr>
          <w:rFonts w:ascii="Arial" w:hAnsi="Arial" w:cs="Arial"/>
          <w:b/>
          <w:bCs/>
          <w:sz w:val="22"/>
          <w:szCs w:val="22"/>
        </w:rPr>
        <w:t>who Dealt with Palestinian Justice Sector by Institution, September-October 2018</w:t>
      </w:r>
    </w:p>
    <w:p w:rsidR="002E18C9" w:rsidRPr="002E18C9" w:rsidRDefault="002E18C9" w:rsidP="002E18C9">
      <w:pPr>
        <w:tabs>
          <w:tab w:val="left" w:pos="8364"/>
          <w:tab w:val="left" w:pos="8506"/>
        </w:tabs>
        <w:bidi w:val="0"/>
        <w:jc w:val="center"/>
        <w:rPr>
          <w:rFonts w:ascii="Arial" w:hAnsi="Arial" w:cs="Arial"/>
          <w:b/>
          <w:bCs/>
          <w:sz w:val="6"/>
          <w:szCs w:val="6"/>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56"/>
      </w:tblGrid>
      <w:tr w:rsidR="004B284E" w:rsidRPr="00A73F21" w:rsidTr="00742041">
        <w:trPr>
          <w:trHeight w:val="3505"/>
          <w:jc w:val="center"/>
        </w:trPr>
        <w:tc>
          <w:tcPr>
            <w:tcW w:w="8781" w:type="dxa"/>
          </w:tcPr>
          <w:p w:rsidR="00290D7A" w:rsidRPr="00A73F21" w:rsidRDefault="006C7CB0" w:rsidP="00AF40B0">
            <w:pPr>
              <w:bidi w:val="0"/>
              <w:jc w:val="center"/>
              <w:rPr>
                <w:b/>
                <w:bCs/>
                <w:noProof/>
                <w:rtl/>
                <w:lang w:val="en-GB" w:eastAsia="en-GB"/>
              </w:rPr>
            </w:pPr>
            <w:r w:rsidRPr="00A73F21">
              <w:rPr>
                <w:rFonts w:hint="cs"/>
                <w:b/>
                <w:bCs/>
                <w:noProof/>
                <w:rtl/>
                <w:lang w:eastAsia="en-US"/>
              </w:rPr>
              <w:drawing>
                <wp:inline distT="0" distB="0" distL="0" distR="0">
                  <wp:extent cx="5486400" cy="2266950"/>
                  <wp:effectExtent l="0" t="0" r="0" b="0"/>
                  <wp:docPr id="30"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4402A6" w:rsidRPr="002E18C9" w:rsidRDefault="004402A6" w:rsidP="00AF40B0">
      <w:pPr>
        <w:bidi w:val="0"/>
        <w:jc w:val="center"/>
        <w:rPr>
          <w:b/>
          <w:bCs/>
          <w:sz w:val="22"/>
          <w:szCs w:val="22"/>
          <w:rtl/>
        </w:rPr>
      </w:pPr>
    </w:p>
    <w:tbl>
      <w:tblPr>
        <w:tblStyle w:val="TableGrid"/>
        <w:tblW w:w="8876" w:type="dxa"/>
        <w:jc w:val="center"/>
        <w:tblInd w:w="88" w:type="dxa"/>
        <w:tblLook w:val="04A0"/>
      </w:tblPr>
      <w:tblGrid>
        <w:gridCol w:w="8876"/>
      </w:tblGrid>
      <w:tr w:rsidR="00032A32" w:rsidRPr="00462F57" w:rsidTr="002E18C9">
        <w:trPr>
          <w:jc w:val="center"/>
        </w:trPr>
        <w:tc>
          <w:tcPr>
            <w:tcW w:w="8876" w:type="dxa"/>
            <w:vAlign w:val="center"/>
          </w:tcPr>
          <w:p w:rsidR="00032A32" w:rsidRPr="00462F57" w:rsidRDefault="00032A32" w:rsidP="00DA7DF6">
            <w:pPr>
              <w:bidi w:val="0"/>
              <w:jc w:val="center"/>
              <w:rPr>
                <w:lang w:eastAsia="en-US"/>
              </w:rPr>
            </w:pPr>
            <w:r w:rsidRPr="00462F57">
              <w:rPr>
                <w:b/>
                <w:bCs/>
                <w:lang w:eastAsia="en-US"/>
              </w:rPr>
              <w:t xml:space="preserve">More than half of the </w:t>
            </w:r>
            <w:r w:rsidR="00DA7DF6">
              <w:rPr>
                <w:b/>
                <w:bCs/>
                <w:lang w:eastAsia="en-US"/>
              </w:rPr>
              <w:t>persons</w:t>
            </w:r>
            <w:r w:rsidR="0041790A">
              <w:rPr>
                <w:b/>
                <w:bCs/>
                <w:lang w:eastAsia="en-US"/>
              </w:rPr>
              <w:t xml:space="preserve"> (18 years and above)</w:t>
            </w:r>
            <w:r w:rsidRPr="00462F57">
              <w:rPr>
                <w:b/>
                <w:bCs/>
                <w:lang w:eastAsia="en-US"/>
              </w:rPr>
              <w:t xml:space="preserve"> are satisfied with the Ministry of Interior and the Palestinian police</w:t>
            </w:r>
          </w:p>
        </w:tc>
      </w:tr>
    </w:tbl>
    <w:p w:rsidR="00032A32" w:rsidRPr="00B767AC" w:rsidRDefault="00032A32" w:rsidP="00032A32">
      <w:pPr>
        <w:bidi w:val="0"/>
        <w:jc w:val="both"/>
        <w:rPr>
          <w:sz w:val="18"/>
          <w:szCs w:val="18"/>
          <w:lang w:eastAsia="en-US"/>
        </w:rPr>
      </w:pPr>
    </w:p>
    <w:p w:rsidR="00521A9B" w:rsidRPr="00462F57" w:rsidRDefault="00521A9B" w:rsidP="0041790A">
      <w:pPr>
        <w:bidi w:val="0"/>
        <w:jc w:val="both"/>
        <w:rPr>
          <w:rtl/>
          <w:lang w:eastAsia="en-US"/>
        </w:rPr>
      </w:pPr>
      <w:r w:rsidRPr="00462F57">
        <w:rPr>
          <w:lang w:eastAsia="en-US"/>
        </w:rPr>
        <w:t xml:space="preserve">The results showed that the most satisfied Palestinian security institution by the Palestinian people was the Ministry of Interior with 57.3%, followed by the Palestinian Civil Police with a satisfaction rate of 56.9%, while the Military Intelligence was the least satisfied by </w:t>
      </w:r>
      <w:r w:rsidR="00DA7DF6">
        <w:rPr>
          <w:lang w:eastAsia="en-US"/>
        </w:rPr>
        <w:t>Persons</w:t>
      </w:r>
      <w:r w:rsidRPr="00462F57">
        <w:rPr>
          <w:lang w:eastAsia="en-US"/>
        </w:rPr>
        <w:t xml:space="preserve"> with 38.1%</w:t>
      </w:r>
      <w:r w:rsidR="006337C5" w:rsidRPr="00462F57">
        <w:rPr>
          <w:lang w:eastAsia="en-US"/>
        </w:rPr>
        <w:t>.</w:t>
      </w:r>
      <w:r w:rsidR="007937F2" w:rsidRPr="00462F57">
        <w:rPr>
          <w:lang w:eastAsia="en-US"/>
        </w:rPr>
        <w:t xml:space="preserve"> </w:t>
      </w:r>
      <w:r w:rsidR="006337C5" w:rsidRPr="00462F57">
        <w:rPr>
          <w:lang w:eastAsia="en-US"/>
        </w:rPr>
        <w:t xml:space="preserve">(see table </w:t>
      </w:r>
      <w:r w:rsidR="00856AC5" w:rsidRPr="00462F57">
        <w:rPr>
          <w:lang w:eastAsia="en-US"/>
        </w:rPr>
        <w:t>16</w:t>
      </w:r>
      <w:r w:rsidR="006337C5" w:rsidRPr="00462F57">
        <w:rPr>
          <w:lang w:eastAsia="en-US"/>
        </w:rPr>
        <w:t>)</w:t>
      </w:r>
      <w:r w:rsidR="005B4307" w:rsidRPr="00462F57">
        <w:rPr>
          <w:lang w:eastAsia="en-US"/>
        </w:rPr>
        <w:t>.</w:t>
      </w:r>
    </w:p>
    <w:p w:rsidR="002810D0" w:rsidRPr="00742041" w:rsidRDefault="002810D0" w:rsidP="00AF40B0">
      <w:pPr>
        <w:bidi w:val="0"/>
        <w:jc w:val="center"/>
        <w:rPr>
          <w:rFonts w:asciiTheme="majorBidi" w:hAnsiTheme="majorBidi" w:cstheme="majorBidi"/>
          <w:b/>
          <w:bCs/>
          <w:sz w:val="18"/>
          <w:szCs w:val="18"/>
          <w:rtl/>
        </w:rPr>
      </w:pPr>
    </w:p>
    <w:p w:rsidR="00521A9B" w:rsidRPr="00A73F21" w:rsidRDefault="00521A9B" w:rsidP="00F10BCF">
      <w:pPr>
        <w:bidi w:val="0"/>
        <w:jc w:val="center"/>
        <w:rPr>
          <w:rFonts w:ascii="Arial" w:hAnsi="Arial" w:cs="Arial"/>
          <w:b/>
          <w:bCs/>
          <w:sz w:val="22"/>
          <w:szCs w:val="22"/>
        </w:rPr>
      </w:pPr>
      <w:r w:rsidRPr="00A73F21">
        <w:rPr>
          <w:rFonts w:ascii="Arial" w:hAnsi="Arial" w:cs="Arial"/>
          <w:b/>
          <w:bCs/>
          <w:sz w:val="22"/>
          <w:szCs w:val="22"/>
        </w:rPr>
        <w:t xml:space="preserve">Percentage of </w:t>
      </w:r>
      <w:r w:rsidR="00F10BCF">
        <w:rPr>
          <w:rFonts w:ascii="Arial" w:hAnsi="Arial" w:cs="Arial"/>
          <w:b/>
          <w:bCs/>
          <w:sz w:val="22"/>
          <w:szCs w:val="22"/>
        </w:rPr>
        <w:t>Persons</w:t>
      </w:r>
      <w:r w:rsidR="00F10BCF" w:rsidRPr="00A73F21">
        <w:rPr>
          <w:rFonts w:ascii="Arial" w:hAnsi="Arial" w:cs="Arial"/>
          <w:b/>
          <w:bCs/>
          <w:sz w:val="22"/>
          <w:szCs w:val="22"/>
        </w:rPr>
        <w:t xml:space="preserve"> </w:t>
      </w:r>
      <w:r w:rsidR="00DA7DF6" w:rsidRPr="00A73F21">
        <w:rPr>
          <w:rFonts w:ascii="Arial" w:hAnsi="Arial" w:cs="Arial"/>
          <w:b/>
          <w:bCs/>
          <w:sz w:val="22"/>
          <w:szCs w:val="22"/>
        </w:rPr>
        <w:t>Satisfaction</w:t>
      </w:r>
      <w:r w:rsidR="00DA7DF6">
        <w:rPr>
          <w:rFonts w:ascii="Arial" w:hAnsi="Arial" w:cs="Arial"/>
          <w:b/>
          <w:bCs/>
          <w:sz w:val="22"/>
          <w:szCs w:val="22"/>
        </w:rPr>
        <w:t xml:space="preserve"> (18 Years and above) </w:t>
      </w:r>
      <w:r w:rsidR="003D102F">
        <w:rPr>
          <w:rFonts w:ascii="Arial" w:hAnsi="Arial" w:cs="Arial"/>
          <w:b/>
          <w:bCs/>
          <w:sz w:val="22"/>
          <w:szCs w:val="22"/>
        </w:rPr>
        <w:t xml:space="preserve">in Palestine </w:t>
      </w:r>
      <w:r w:rsidRPr="00A73F21">
        <w:rPr>
          <w:rFonts w:ascii="Arial" w:hAnsi="Arial" w:cs="Arial"/>
          <w:b/>
          <w:bCs/>
          <w:sz w:val="22"/>
          <w:szCs w:val="22"/>
        </w:rPr>
        <w:t xml:space="preserve">with the </w:t>
      </w:r>
      <w:r w:rsidRPr="00561042">
        <w:rPr>
          <w:rFonts w:ascii="Arial" w:hAnsi="Arial" w:cs="Arial"/>
          <w:b/>
          <w:bCs/>
          <w:sz w:val="22"/>
          <w:szCs w:val="22"/>
        </w:rPr>
        <w:t>Palestinian Security Institutions</w:t>
      </w:r>
      <w:r w:rsidR="003D102F" w:rsidRPr="00561042">
        <w:rPr>
          <w:rFonts w:ascii="Arial" w:hAnsi="Arial" w:cs="Arial"/>
          <w:b/>
          <w:bCs/>
          <w:sz w:val="22"/>
          <w:szCs w:val="22"/>
        </w:rPr>
        <w:t xml:space="preserve"> by</w:t>
      </w:r>
      <w:r w:rsidR="003D102F" w:rsidRPr="00A73F21">
        <w:rPr>
          <w:rFonts w:ascii="Arial" w:hAnsi="Arial" w:cs="Arial"/>
          <w:b/>
          <w:bCs/>
          <w:sz w:val="22"/>
          <w:szCs w:val="22"/>
        </w:rPr>
        <w:t xml:space="preserve"> Institution</w:t>
      </w:r>
      <w:r w:rsidRPr="00A73F21">
        <w:rPr>
          <w:rFonts w:ascii="Arial" w:hAnsi="Arial" w:cs="Arial"/>
          <w:b/>
          <w:bCs/>
          <w:sz w:val="22"/>
          <w:szCs w:val="22"/>
        </w:rPr>
        <w:t xml:space="preserve">, September-October 2018 </w:t>
      </w:r>
    </w:p>
    <w:tbl>
      <w:tblPr>
        <w:tblW w:w="8856" w:type="dxa"/>
        <w:jc w:val="center"/>
        <w:tblLook w:val="04A0"/>
      </w:tblPr>
      <w:tblGrid>
        <w:gridCol w:w="8856"/>
      </w:tblGrid>
      <w:tr w:rsidR="00237F1F" w:rsidRPr="00A73F21" w:rsidTr="005B35B2">
        <w:trPr>
          <w:trHeight w:val="3865"/>
          <w:jc w:val="center"/>
        </w:trPr>
        <w:tc>
          <w:tcPr>
            <w:tcW w:w="8856" w:type="dxa"/>
            <w:tcBorders>
              <w:top w:val="single" w:sz="4" w:space="0" w:color="auto"/>
              <w:left w:val="single" w:sz="4" w:space="0" w:color="auto"/>
              <w:bottom w:val="single" w:sz="4" w:space="0" w:color="auto"/>
              <w:right w:val="single" w:sz="4" w:space="0" w:color="auto"/>
            </w:tcBorders>
          </w:tcPr>
          <w:p w:rsidR="00237F1F" w:rsidRPr="00A73F21" w:rsidRDefault="002810D0" w:rsidP="00AF40B0">
            <w:pPr>
              <w:bidi w:val="0"/>
              <w:jc w:val="center"/>
              <w:rPr>
                <w:b/>
                <w:bCs/>
                <w:rtl/>
              </w:rPr>
            </w:pPr>
            <w:r w:rsidRPr="00A73F21">
              <w:rPr>
                <w:rFonts w:hint="cs"/>
                <w:b/>
                <w:bCs/>
                <w:noProof/>
                <w:lang w:eastAsia="en-US"/>
              </w:rPr>
              <w:drawing>
                <wp:inline distT="0" distB="0" distL="0" distR="0">
                  <wp:extent cx="5486400" cy="2581275"/>
                  <wp:effectExtent l="0" t="0" r="0" b="0"/>
                  <wp:docPr id="33"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E552CD" w:rsidRDefault="00E552CD" w:rsidP="00AF40B0">
      <w:pPr>
        <w:bidi w:val="0"/>
        <w:jc w:val="center"/>
        <w:rPr>
          <w:b/>
          <w:bCs/>
          <w:sz w:val="18"/>
          <w:szCs w:val="18"/>
        </w:rPr>
      </w:pPr>
    </w:p>
    <w:p w:rsidR="00462F57" w:rsidRPr="00742041" w:rsidRDefault="00462F57" w:rsidP="00462F57">
      <w:pPr>
        <w:bidi w:val="0"/>
        <w:jc w:val="center"/>
        <w:rPr>
          <w:b/>
          <w:bCs/>
          <w:sz w:val="18"/>
          <w:szCs w:val="18"/>
        </w:rPr>
      </w:pPr>
    </w:p>
    <w:tbl>
      <w:tblPr>
        <w:tblStyle w:val="TableGrid"/>
        <w:tblW w:w="9072" w:type="dxa"/>
        <w:jc w:val="center"/>
        <w:tblLook w:val="04A0"/>
      </w:tblPr>
      <w:tblGrid>
        <w:gridCol w:w="9072"/>
      </w:tblGrid>
      <w:tr w:rsidR="00D04308" w:rsidRPr="00462F57" w:rsidTr="00D04308">
        <w:trPr>
          <w:trHeight w:val="340"/>
          <w:jc w:val="center"/>
        </w:trPr>
        <w:tc>
          <w:tcPr>
            <w:tcW w:w="9289" w:type="dxa"/>
            <w:vAlign w:val="center"/>
          </w:tcPr>
          <w:p w:rsidR="00D04308" w:rsidRPr="00462F57" w:rsidRDefault="00D04308" w:rsidP="00D04308">
            <w:pPr>
              <w:bidi w:val="0"/>
              <w:jc w:val="center"/>
              <w:rPr>
                <w:b/>
                <w:bCs/>
              </w:rPr>
            </w:pPr>
            <w:r w:rsidRPr="00462F57">
              <w:rPr>
                <w:b/>
                <w:bCs/>
                <w:lang w:eastAsia="en-US"/>
              </w:rPr>
              <w:lastRenderedPageBreak/>
              <w:t xml:space="preserve">More than one-third of the </w:t>
            </w:r>
            <w:r w:rsidR="006976D4">
              <w:rPr>
                <w:b/>
                <w:bCs/>
                <w:lang w:eastAsia="en-US"/>
              </w:rPr>
              <w:t xml:space="preserve">persons </w:t>
            </w:r>
            <w:r w:rsidR="0041790A">
              <w:rPr>
                <w:b/>
                <w:bCs/>
                <w:lang w:eastAsia="en-US"/>
              </w:rPr>
              <w:t>(18 years and above)</w:t>
            </w:r>
            <w:r w:rsidRPr="00462F57">
              <w:rPr>
                <w:b/>
                <w:bCs/>
                <w:lang w:eastAsia="en-US"/>
              </w:rPr>
              <w:t xml:space="preserve"> are aware of the power of the Palestinian</w:t>
            </w:r>
            <w:r w:rsidR="00592AF7">
              <w:rPr>
                <w:b/>
                <w:bCs/>
                <w:lang w:eastAsia="en-US"/>
              </w:rPr>
              <w:t xml:space="preserve"> Civil</w:t>
            </w:r>
            <w:r w:rsidRPr="00462F57">
              <w:rPr>
                <w:b/>
                <w:bCs/>
                <w:lang w:eastAsia="en-US"/>
              </w:rPr>
              <w:t xml:space="preserve"> police</w:t>
            </w:r>
          </w:p>
        </w:tc>
      </w:tr>
    </w:tbl>
    <w:p w:rsidR="00561042" w:rsidRPr="00462F57" w:rsidRDefault="00561042" w:rsidP="00D04308">
      <w:pPr>
        <w:bidi w:val="0"/>
        <w:rPr>
          <w:b/>
          <w:bCs/>
          <w:sz w:val="18"/>
          <w:szCs w:val="18"/>
        </w:rPr>
      </w:pPr>
    </w:p>
    <w:p w:rsidR="00521A9B" w:rsidRPr="00462F57" w:rsidRDefault="00DA7DF6" w:rsidP="0041790A">
      <w:pPr>
        <w:bidi w:val="0"/>
        <w:jc w:val="both"/>
        <w:rPr>
          <w:rtl/>
          <w:lang w:eastAsia="en-US"/>
        </w:rPr>
      </w:pPr>
      <w:r>
        <w:rPr>
          <w:lang w:eastAsia="en-US"/>
        </w:rPr>
        <w:t>Persons</w:t>
      </w:r>
      <w:r w:rsidR="0041790A">
        <w:rPr>
          <w:lang w:eastAsia="en-US"/>
        </w:rPr>
        <w:t xml:space="preserve"> (18 years and above)</w:t>
      </w:r>
      <w:r w:rsidR="00521A9B" w:rsidRPr="00462F57">
        <w:rPr>
          <w:lang w:eastAsia="en-US"/>
        </w:rPr>
        <w:t xml:space="preserve"> knowledge</w:t>
      </w:r>
      <w:r w:rsidR="00080584">
        <w:rPr>
          <w:rStyle w:val="FootnoteReference"/>
          <w:lang w:eastAsia="en-US"/>
        </w:rPr>
        <w:footnoteReference w:id="1"/>
      </w:r>
      <w:r w:rsidR="00521A9B" w:rsidRPr="00462F57">
        <w:rPr>
          <w:lang w:eastAsia="en-US"/>
        </w:rPr>
        <w:t xml:space="preserve"> of the powers of the institutions of the security and justice sectors varied, where the results showed that the power of the Palestinian</w:t>
      </w:r>
      <w:r w:rsidR="006B6537">
        <w:rPr>
          <w:lang w:eastAsia="en-US"/>
        </w:rPr>
        <w:t xml:space="preserve"> Civil</w:t>
      </w:r>
      <w:r w:rsidR="00521A9B" w:rsidRPr="00462F57">
        <w:rPr>
          <w:lang w:eastAsia="en-US"/>
        </w:rPr>
        <w:t xml:space="preserve"> police got the highest percentage of </w:t>
      </w:r>
      <w:r w:rsidR="006976D4">
        <w:rPr>
          <w:lang w:eastAsia="en-US"/>
        </w:rPr>
        <w:t>per</w:t>
      </w:r>
      <w:r>
        <w:rPr>
          <w:lang w:eastAsia="en-US"/>
        </w:rPr>
        <w:t>sons</w:t>
      </w:r>
      <w:r w:rsidR="0041790A">
        <w:rPr>
          <w:lang w:eastAsia="en-US"/>
        </w:rPr>
        <w:t xml:space="preserve"> (18 years and above)</w:t>
      </w:r>
      <w:r w:rsidR="00521A9B" w:rsidRPr="00462F57">
        <w:rPr>
          <w:lang w:eastAsia="en-US"/>
        </w:rPr>
        <w:t xml:space="preserve"> knowledge (</w:t>
      </w:r>
      <w:r w:rsidR="00601B76" w:rsidRPr="00462F57">
        <w:rPr>
          <w:lang w:eastAsia="en-US"/>
        </w:rPr>
        <w:t>52.5</w:t>
      </w:r>
      <w:r w:rsidR="00521A9B" w:rsidRPr="00462F57">
        <w:rPr>
          <w:lang w:eastAsia="en-US"/>
        </w:rPr>
        <w:t xml:space="preserve">% </w:t>
      </w:r>
      <w:r w:rsidR="00601B76" w:rsidRPr="00462F57">
        <w:rPr>
          <w:lang w:eastAsia="en-US"/>
        </w:rPr>
        <w:t>for males</w:t>
      </w:r>
      <w:r w:rsidR="00521A9B" w:rsidRPr="00462F57">
        <w:rPr>
          <w:lang w:eastAsia="en-US"/>
        </w:rPr>
        <w:t xml:space="preserve"> and </w:t>
      </w:r>
      <w:r w:rsidR="00601B76" w:rsidRPr="00462F57">
        <w:rPr>
          <w:lang w:eastAsia="en-US"/>
        </w:rPr>
        <w:t>30.1</w:t>
      </w:r>
      <w:r w:rsidR="00521A9B" w:rsidRPr="00462F57">
        <w:rPr>
          <w:lang w:eastAsia="en-US"/>
        </w:rPr>
        <w:t xml:space="preserve">% </w:t>
      </w:r>
      <w:r w:rsidR="00601B76" w:rsidRPr="00462F57">
        <w:rPr>
          <w:lang w:eastAsia="en-US"/>
        </w:rPr>
        <w:t>for females</w:t>
      </w:r>
      <w:r w:rsidR="00521A9B" w:rsidRPr="00462F57">
        <w:rPr>
          <w:lang w:eastAsia="en-US"/>
        </w:rPr>
        <w:t xml:space="preserve">). The </w:t>
      </w:r>
      <w:r>
        <w:rPr>
          <w:lang w:eastAsia="en-US"/>
        </w:rPr>
        <w:t>Persons</w:t>
      </w:r>
      <w:r w:rsidR="0041790A">
        <w:rPr>
          <w:lang w:eastAsia="en-US"/>
        </w:rPr>
        <w:t xml:space="preserve"> (18 years and above)</w:t>
      </w:r>
      <w:r w:rsidR="00521A9B" w:rsidRPr="00462F57">
        <w:rPr>
          <w:lang w:eastAsia="en-US"/>
        </w:rPr>
        <w:t xml:space="preserve"> knowledge of the power of the Ministry of Justice reached </w:t>
      </w:r>
      <w:r w:rsidR="00601B76" w:rsidRPr="00462F57">
        <w:rPr>
          <w:lang w:eastAsia="en-US"/>
        </w:rPr>
        <w:t>27.9% for males and 14.0% for females</w:t>
      </w:r>
      <w:r w:rsidR="006337C5" w:rsidRPr="00462F57">
        <w:rPr>
          <w:lang w:eastAsia="en-US"/>
        </w:rPr>
        <w:t>.</w:t>
      </w:r>
      <w:r w:rsidR="00C72978" w:rsidRPr="00462F57">
        <w:rPr>
          <w:lang w:eastAsia="en-US"/>
        </w:rPr>
        <w:t xml:space="preserve"> </w:t>
      </w:r>
      <w:r w:rsidR="006337C5" w:rsidRPr="00462F57">
        <w:rPr>
          <w:lang w:eastAsia="en-US"/>
        </w:rPr>
        <w:t xml:space="preserve">(see table </w:t>
      </w:r>
      <w:r w:rsidR="00856AC5" w:rsidRPr="00462F57">
        <w:rPr>
          <w:lang w:eastAsia="en-US"/>
        </w:rPr>
        <w:t>9</w:t>
      </w:r>
      <w:r w:rsidR="006337C5" w:rsidRPr="00462F57">
        <w:rPr>
          <w:lang w:eastAsia="en-US"/>
        </w:rPr>
        <w:t>)</w:t>
      </w:r>
      <w:r w:rsidR="005B4307" w:rsidRPr="00462F57">
        <w:rPr>
          <w:lang w:eastAsia="en-US"/>
        </w:rPr>
        <w:t>.</w:t>
      </w:r>
    </w:p>
    <w:p w:rsidR="00521A9B" w:rsidRPr="00742041" w:rsidRDefault="00742041" w:rsidP="00742041">
      <w:pPr>
        <w:tabs>
          <w:tab w:val="left" w:pos="720"/>
        </w:tabs>
        <w:bidi w:val="0"/>
        <w:rPr>
          <w:rFonts w:asciiTheme="majorBidi" w:hAnsiTheme="majorBidi" w:cstheme="majorBidi"/>
          <w:b/>
          <w:bCs/>
          <w:sz w:val="18"/>
          <w:szCs w:val="18"/>
          <w:rtl/>
        </w:rPr>
      </w:pPr>
      <w:r>
        <w:rPr>
          <w:rFonts w:asciiTheme="majorBidi" w:hAnsiTheme="majorBidi" w:cstheme="majorBidi"/>
          <w:b/>
          <w:bCs/>
          <w:sz w:val="16"/>
          <w:szCs w:val="16"/>
        </w:rPr>
        <w:tab/>
      </w:r>
    </w:p>
    <w:p w:rsidR="00521A9B" w:rsidRPr="00BB3CE0" w:rsidRDefault="00521A9B" w:rsidP="006976D4">
      <w:pPr>
        <w:bidi w:val="0"/>
        <w:ind w:left="70"/>
        <w:jc w:val="center"/>
        <w:rPr>
          <w:rFonts w:ascii="Arial" w:hAnsi="Arial" w:cs="Arial"/>
          <w:b/>
          <w:bCs/>
          <w:sz w:val="22"/>
          <w:szCs w:val="22"/>
          <w:rtl/>
          <w:lang w:eastAsia="en-US"/>
        </w:rPr>
      </w:pPr>
      <w:r w:rsidRPr="00BB3CE0">
        <w:rPr>
          <w:rFonts w:ascii="Arial" w:hAnsi="Arial" w:cs="Arial"/>
          <w:b/>
          <w:bCs/>
          <w:sz w:val="22"/>
          <w:szCs w:val="22"/>
          <w:lang w:eastAsia="en-US"/>
        </w:rPr>
        <w:t xml:space="preserve">Percentage of </w:t>
      </w:r>
      <w:r w:rsidR="00DA7DF6">
        <w:rPr>
          <w:rFonts w:ascii="Arial" w:hAnsi="Arial" w:cs="Arial"/>
          <w:b/>
          <w:bCs/>
          <w:sz w:val="22"/>
          <w:szCs w:val="22"/>
          <w:lang w:eastAsia="en-US"/>
        </w:rPr>
        <w:t>Persons</w:t>
      </w:r>
      <w:r w:rsidR="006976D4">
        <w:rPr>
          <w:rFonts w:ascii="Arial" w:hAnsi="Arial" w:cs="Arial"/>
          <w:b/>
          <w:bCs/>
          <w:sz w:val="22"/>
          <w:szCs w:val="22"/>
          <w:lang w:eastAsia="en-US"/>
        </w:rPr>
        <w:t>(18 years and above)</w:t>
      </w:r>
      <w:r w:rsidRPr="00BB3CE0">
        <w:rPr>
          <w:rFonts w:ascii="Arial" w:hAnsi="Arial" w:cs="Arial"/>
          <w:b/>
          <w:bCs/>
          <w:sz w:val="22"/>
          <w:szCs w:val="22"/>
          <w:lang w:eastAsia="en-US"/>
        </w:rPr>
        <w:t xml:space="preserve"> knowledge* in Palestine of the powers of </w:t>
      </w:r>
      <w:r w:rsidR="009B2AD8" w:rsidRPr="00BB3CE0">
        <w:rPr>
          <w:rFonts w:ascii="Arial" w:hAnsi="Arial" w:cs="Arial"/>
          <w:b/>
          <w:bCs/>
          <w:sz w:val="22"/>
          <w:szCs w:val="22"/>
        </w:rPr>
        <w:t>Palestinian</w:t>
      </w:r>
      <w:r w:rsidRPr="00BB3CE0">
        <w:rPr>
          <w:rFonts w:ascii="Arial" w:hAnsi="Arial" w:cs="Arial"/>
          <w:b/>
          <w:bCs/>
          <w:sz w:val="22"/>
          <w:szCs w:val="22"/>
          <w:lang w:eastAsia="en-US"/>
        </w:rPr>
        <w:t xml:space="preserve"> security and justice institutions by institution, September-October 2018</w:t>
      </w:r>
    </w:p>
    <w:tbl>
      <w:tblPr>
        <w:tblStyle w:val="TableGrid"/>
        <w:tblW w:w="0" w:type="auto"/>
        <w:jc w:val="center"/>
        <w:tblLook w:val="04A0"/>
      </w:tblPr>
      <w:tblGrid>
        <w:gridCol w:w="8986"/>
      </w:tblGrid>
      <w:tr w:rsidR="009E3DC7" w:rsidRPr="00A73F21" w:rsidTr="00B767AC">
        <w:trPr>
          <w:jc w:val="center"/>
        </w:trPr>
        <w:tc>
          <w:tcPr>
            <w:tcW w:w="8986" w:type="dxa"/>
          </w:tcPr>
          <w:p w:rsidR="009E3DC7" w:rsidRPr="00A73F21" w:rsidRDefault="003A0C91" w:rsidP="00AF40B0">
            <w:pPr>
              <w:bidi w:val="0"/>
              <w:jc w:val="center"/>
              <w:rPr>
                <w:rFonts w:ascii="Arial" w:hAnsi="Arial" w:cs="Arial"/>
                <w:b/>
                <w:bCs/>
                <w:sz w:val="22"/>
                <w:szCs w:val="22"/>
              </w:rPr>
            </w:pPr>
            <w:r w:rsidRPr="00A73F21">
              <w:rPr>
                <w:rFonts w:ascii="Arial" w:hAnsi="Arial" w:cs="Arial" w:hint="cs"/>
                <w:b/>
                <w:bCs/>
                <w:noProof/>
                <w:sz w:val="22"/>
                <w:szCs w:val="22"/>
                <w:lang w:eastAsia="en-US"/>
              </w:rPr>
              <w:drawing>
                <wp:inline distT="0" distB="0" distL="0" distR="0">
                  <wp:extent cx="5568778" cy="2372497"/>
                  <wp:effectExtent l="0" t="0" r="0" b="0"/>
                  <wp:docPr id="3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4B284E" w:rsidRPr="00BB3CE0" w:rsidRDefault="00A153EC" w:rsidP="00AF40B0">
      <w:pPr>
        <w:bidi w:val="0"/>
        <w:rPr>
          <w:rFonts w:ascii="Arial" w:hAnsi="Arial" w:cs="Arial"/>
          <w:b/>
          <w:bCs/>
          <w:rtl/>
        </w:rPr>
      </w:pPr>
      <w:r w:rsidRPr="00BB3CE0">
        <w:rPr>
          <w:rFonts w:ascii="Arial" w:hAnsi="Arial" w:cs="Arial"/>
          <w:sz w:val="18"/>
          <w:szCs w:val="18"/>
        </w:rPr>
        <w:t xml:space="preserve">* Knowledge included fully knowledge and partially knowledge </w:t>
      </w:r>
      <w:r w:rsidRPr="00BB3CE0">
        <w:rPr>
          <w:rFonts w:ascii="Arial" w:hAnsi="Arial" w:cs="Arial"/>
          <w:b/>
          <w:bCs/>
        </w:rPr>
        <w:t xml:space="preserve"> </w:t>
      </w:r>
    </w:p>
    <w:p w:rsidR="00D04308" w:rsidRPr="002E18C9" w:rsidRDefault="00D04308" w:rsidP="00A277F6">
      <w:pPr>
        <w:bidi w:val="0"/>
        <w:jc w:val="both"/>
        <w:rPr>
          <w:rFonts w:cs="Simplified Arabic"/>
          <w:sz w:val="28"/>
          <w:szCs w:val="28"/>
          <w:lang w:eastAsia="en-US"/>
        </w:rPr>
      </w:pPr>
    </w:p>
    <w:tbl>
      <w:tblPr>
        <w:tblStyle w:val="TableGrid"/>
        <w:tblW w:w="9072" w:type="dxa"/>
        <w:jc w:val="center"/>
        <w:tblLook w:val="04A0"/>
      </w:tblPr>
      <w:tblGrid>
        <w:gridCol w:w="9072"/>
      </w:tblGrid>
      <w:tr w:rsidR="00D04308" w:rsidRPr="00462F57" w:rsidTr="00D04308">
        <w:trPr>
          <w:trHeight w:val="340"/>
          <w:jc w:val="center"/>
        </w:trPr>
        <w:tc>
          <w:tcPr>
            <w:tcW w:w="9289" w:type="dxa"/>
          </w:tcPr>
          <w:p w:rsidR="00D04308" w:rsidRPr="00462F57" w:rsidRDefault="00D04308" w:rsidP="00F10BCF">
            <w:pPr>
              <w:bidi w:val="0"/>
              <w:jc w:val="center"/>
              <w:rPr>
                <w:lang w:eastAsia="en-US"/>
              </w:rPr>
            </w:pPr>
            <w:r w:rsidRPr="00462F57">
              <w:rPr>
                <w:b/>
                <w:bCs/>
                <w:lang w:eastAsia="en-US"/>
              </w:rPr>
              <w:t xml:space="preserve">The most known procedures by </w:t>
            </w:r>
            <w:r w:rsidR="00DA7DF6">
              <w:rPr>
                <w:b/>
                <w:bCs/>
                <w:lang w:eastAsia="en-US"/>
              </w:rPr>
              <w:t>persons</w:t>
            </w:r>
            <w:r w:rsidR="00080584">
              <w:rPr>
                <w:b/>
                <w:bCs/>
                <w:lang w:eastAsia="en-US"/>
              </w:rPr>
              <w:t xml:space="preserve"> (18 years and above)</w:t>
            </w:r>
            <w:r w:rsidRPr="00462F57">
              <w:rPr>
                <w:b/>
                <w:bCs/>
                <w:lang w:eastAsia="en-US"/>
              </w:rPr>
              <w:t xml:space="preserve"> for filing a claim at the </w:t>
            </w:r>
            <w:r w:rsidR="00641048">
              <w:rPr>
                <w:b/>
                <w:bCs/>
                <w:lang w:eastAsia="en-US"/>
              </w:rPr>
              <w:t>P</w:t>
            </w:r>
            <w:r w:rsidR="00641048" w:rsidRPr="00462F57">
              <w:rPr>
                <w:b/>
                <w:bCs/>
                <w:lang w:eastAsia="en-US"/>
              </w:rPr>
              <w:t>alestinian</w:t>
            </w:r>
            <w:r w:rsidR="00641048">
              <w:rPr>
                <w:b/>
                <w:bCs/>
                <w:lang w:eastAsia="en-US"/>
              </w:rPr>
              <w:t xml:space="preserve"> </w:t>
            </w:r>
            <w:r w:rsidR="00F10BCF">
              <w:rPr>
                <w:b/>
                <w:bCs/>
                <w:lang w:eastAsia="en-US"/>
              </w:rPr>
              <w:t>C</w:t>
            </w:r>
            <w:r w:rsidR="00641048">
              <w:rPr>
                <w:b/>
                <w:bCs/>
                <w:lang w:eastAsia="en-US"/>
              </w:rPr>
              <w:t>ivil</w:t>
            </w:r>
            <w:r w:rsidRPr="00462F57">
              <w:rPr>
                <w:b/>
                <w:bCs/>
                <w:lang w:eastAsia="en-US"/>
              </w:rPr>
              <w:t xml:space="preserve"> </w:t>
            </w:r>
            <w:r w:rsidR="00641048">
              <w:rPr>
                <w:b/>
                <w:bCs/>
                <w:lang w:eastAsia="en-US"/>
              </w:rPr>
              <w:t>p</w:t>
            </w:r>
            <w:r w:rsidRPr="00462F57">
              <w:rPr>
                <w:b/>
                <w:bCs/>
                <w:lang w:eastAsia="en-US"/>
              </w:rPr>
              <w:t>olice</w:t>
            </w:r>
          </w:p>
        </w:tc>
      </w:tr>
    </w:tbl>
    <w:p w:rsidR="00D04308" w:rsidRPr="00462F57" w:rsidRDefault="00D04308" w:rsidP="00D04308">
      <w:pPr>
        <w:bidi w:val="0"/>
        <w:jc w:val="both"/>
        <w:rPr>
          <w:sz w:val="18"/>
          <w:szCs w:val="18"/>
          <w:lang w:eastAsia="en-US"/>
        </w:rPr>
      </w:pPr>
    </w:p>
    <w:p w:rsidR="00521A9B" w:rsidRPr="00B767AC" w:rsidRDefault="00521A9B" w:rsidP="00641048">
      <w:pPr>
        <w:bidi w:val="0"/>
        <w:jc w:val="both"/>
        <w:rPr>
          <w:rtl/>
          <w:lang w:eastAsia="en-US"/>
        </w:rPr>
      </w:pPr>
      <w:r w:rsidRPr="00B767AC">
        <w:rPr>
          <w:lang w:eastAsia="en-US"/>
        </w:rPr>
        <w:t xml:space="preserve">The </w:t>
      </w:r>
      <w:r w:rsidR="00DA7DF6">
        <w:rPr>
          <w:lang w:eastAsia="en-US"/>
        </w:rPr>
        <w:t>persons</w:t>
      </w:r>
      <w:r w:rsidR="00080584">
        <w:rPr>
          <w:lang w:eastAsia="en-US"/>
        </w:rPr>
        <w:t xml:space="preserve"> (18 years and above)</w:t>
      </w:r>
      <w:r w:rsidRPr="00B767AC">
        <w:rPr>
          <w:lang w:eastAsia="en-US"/>
        </w:rPr>
        <w:t xml:space="preserve"> knowledge  of the procedures for filing a </w:t>
      </w:r>
      <w:r w:rsidR="00433EDC" w:rsidRPr="00B767AC">
        <w:rPr>
          <w:lang w:eastAsia="en-US"/>
        </w:rPr>
        <w:t>claim</w:t>
      </w:r>
      <w:r w:rsidRPr="00B767AC">
        <w:rPr>
          <w:lang w:eastAsia="en-US"/>
        </w:rPr>
        <w:t xml:space="preserve"> at the Palestinian security and justice institutions variated. The </w:t>
      </w:r>
      <w:r w:rsidR="00DA7DF6">
        <w:rPr>
          <w:lang w:eastAsia="en-US"/>
        </w:rPr>
        <w:t>persons</w:t>
      </w:r>
      <w:r w:rsidR="00080584">
        <w:rPr>
          <w:lang w:eastAsia="en-US"/>
        </w:rPr>
        <w:t xml:space="preserve"> (18 years and above)</w:t>
      </w:r>
      <w:r w:rsidRPr="00B767AC">
        <w:rPr>
          <w:lang w:eastAsia="en-US"/>
        </w:rPr>
        <w:t xml:space="preserve"> knowledge of  procedures for filing a </w:t>
      </w:r>
      <w:r w:rsidR="00433EDC" w:rsidRPr="00B767AC">
        <w:rPr>
          <w:lang w:eastAsia="en-US"/>
        </w:rPr>
        <w:t>claim</w:t>
      </w:r>
      <w:r w:rsidRPr="00B767AC">
        <w:rPr>
          <w:lang w:eastAsia="en-US"/>
        </w:rPr>
        <w:t xml:space="preserve"> at the Palestinian</w:t>
      </w:r>
      <w:r w:rsidR="00514C60" w:rsidRPr="00B767AC">
        <w:rPr>
          <w:lang w:eastAsia="en-US"/>
        </w:rPr>
        <w:t xml:space="preserve"> civil</w:t>
      </w:r>
      <w:r w:rsidRPr="00B767AC">
        <w:rPr>
          <w:lang w:eastAsia="en-US"/>
        </w:rPr>
        <w:t xml:space="preserve"> police in Palestine was the highest 49.5%, followed by Shari'a and church courts by 44.8%, while the least per</w:t>
      </w:r>
      <w:r w:rsidR="003B7A96" w:rsidRPr="00B767AC">
        <w:rPr>
          <w:lang w:eastAsia="en-US"/>
        </w:rPr>
        <w:t xml:space="preserve">centage was for the </w:t>
      </w:r>
      <w:r w:rsidR="00641048">
        <w:rPr>
          <w:lang w:eastAsia="en-US"/>
        </w:rPr>
        <w:t>m</w:t>
      </w:r>
      <w:r w:rsidR="003B7A96" w:rsidRPr="00B767AC">
        <w:rPr>
          <w:lang w:eastAsia="en-US"/>
        </w:rPr>
        <w:t>i</w:t>
      </w:r>
      <w:r w:rsidR="00A277F6" w:rsidRPr="00B767AC">
        <w:rPr>
          <w:lang w:eastAsia="en-US"/>
        </w:rPr>
        <w:t>litary</w:t>
      </w:r>
      <w:r w:rsidR="003B7A96" w:rsidRPr="00B767AC">
        <w:rPr>
          <w:lang w:eastAsia="en-US"/>
        </w:rPr>
        <w:t xml:space="preserve"> courts </w:t>
      </w:r>
      <w:r w:rsidRPr="00B767AC">
        <w:rPr>
          <w:lang w:eastAsia="en-US"/>
        </w:rPr>
        <w:t>with 17.1%</w:t>
      </w:r>
      <w:r w:rsidR="006337C5" w:rsidRPr="00B767AC">
        <w:rPr>
          <w:lang w:eastAsia="en-US"/>
        </w:rPr>
        <w:t>.</w:t>
      </w:r>
      <w:r w:rsidR="00C72978" w:rsidRPr="00B767AC">
        <w:rPr>
          <w:lang w:eastAsia="en-US"/>
        </w:rPr>
        <w:t xml:space="preserve"> </w:t>
      </w:r>
      <w:r w:rsidR="006337C5" w:rsidRPr="00B767AC">
        <w:rPr>
          <w:lang w:eastAsia="en-US"/>
        </w:rPr>
        <w:t>(see</w:t>
      </w:r>
      <w:r w:rsidR="00981DEC">
        <w:rPr>
          <w:lang w:eastAsia="en-US"/>
        </w:rPr>
        <w:t xml:space="preserve"> </w:t>
      </w:r>
      <w:r w:rsidR="006337C5" w:rsidRPr="00B767AC">
        <w:rPr>
          <w:lang w:eastAsia="en-US"/>
        </w:rPr>
        <w:t xml:space="preserve">table </w:t>
      </w:r>
      <w:r w:rsidR="00856AC5" w:rsidRPr="00B767AC">
        <w:rPr>
          <w:lang w:eastAsia="en-US"/>
        </w:rPr>
        <w:t>10</w:t>
      </w:r>
      <w:r w:rsidR="006337C5" w:rsidRPr="00B767AC">
        <w:rPr>
          <w:lang w:eastAsia="en-US"/>
        </w:rPr>
        <w:t>)</w:t>
      </w:r>
      <w:r w:rsidR="00D30D19" w:rsidRPr="00B767AC">
        <w:rPr>
          <w:lang w:eastAsia="en-US"/>
        </w:rPr>
        <w:t>.</w:t>
      </w:r>
    </w:p>
    <w:p w:rsidR="00FD7D95" w:rsidRDefault="00FD7D95" w:rsidP="00DA7DF6">
      <w:pPr>
        <w:bidi w:val="0"/>
        <w:jc w:val="center"/>
        <w:rPr>
          <w:b/>
          <w:bCs/>
        </w:rPr>
      </w:pPr>
    </w:p>
    <w:p w:rsidR="00FD7D95" w:rsidRDefault="00FD7D95" w:rsidP="00FD7D95">
      <w:pPr>
        <w:bidi w:val="0"/>
        <w:jc w:val="center"/>
        <w:rPr>
          <w:b/>
          <w:bCs/>
        </w:rPr>
      </w:pPr>
    </w:p>
    <w:p w:rsidR="00FD7D95" w:rsidRDefault="00FD7D95" w:rsidP="00FD7D95">
      <w:pPr>
        <w:bidi w:val="0"/>
        <w:jc w:val="center"/>
        <w:rPr>
          <w:b/>
          <w:bCs/>
        </w:rPr>
      </w:pPr>
    </w:p>
    <w:p w:rsidR="00FD7D95" w:rsidRDefault="00FD7D95" w:rsidP="00FD7D95">
      <w:pPr>
        <w:bidi w:val="0"/>
        <w:jc w:val="center"/>
        <w:rPr>
          <w:b/>
          <w:bCs/>
        </w:rPr>
      </w:pPr>
    </w:p>
    <w:p w:rsidR="00FD7D95" w:rsidRDefault="00FD7D95" w:rsidP="00FD7D95">
      <w:pPr>
        <w:bidi w:val="0"/>
        <w:jc w:val="center"/>
        <w:rPr>
          <w:b/>
          <w:bCs/>
        </w:rPr>
      </w:pPr>
    </w:p>
    <w:p w:rsidR="00FD7D95" w:rsidRDefault="00FD7D95" w:rsidP="00FD7D95">
      <w:pPr>
        <w:bidi w:val="0"/>
        <w:jc w:val="center"/>
        <w:rPr>
          <w:b/>
          <w:bCs/>
        </w:rPr>
      </w:pPr>
    </w:p>
    <w:p w:rsidR="00FD7D95" w:rsidRDefault="00FD7D95" w:rsidP="00FD7D95">
      <w:pPr>
        <w:bidi w:val="0"/>
        <w:jc w:val="center"/>
        <w:rPr>
          <w:b/>
          <w:bCs/>
        </w:rPr>
      </w:pPr>
    </w:p>
    <w:p w:rsidR="00FD7D95" w:rsidRDefault="00FD7D95" w:rsidP="00FD7D95">
      <w:pPr>
        <w:bidi w:val="0"/>
        <w:jc w:val="center"/>
        <w:rPr>
          <w:b/>
          <w:bCs/>
        </w:rPr>
      </w:pPr>
    </w:p>
    <w:p w:rsidR="00FD7D95" w:rsidRDefault="00FD7D95" w:rsidP="00FD7D95">
      <w:pPr>
        <w:bidi w:val="0"/>
        <w:jc w:val="center"/>
        <w:rPr>
          <w:b/>
          <w:bCs/>
        </w:rPr>
      </w:pPr>
    </w:p>
    <w:p w:rsidR="00FD7D95" w:rsidRDefault="00FD7D95" w:rsidP="00FD7D95">
      <w:pPr>
        <w:bidi w:val="0"/>
        <w:jc w:val="center"/>
        <w:rPr>
          <w:b/>
          <w:bCs/>
        </w:rPr>
      </w:pPr>
    </w:p>
    <w:p w:rsidR="00FD7D95" w:rsidRDefault="00FD7D95" w:rsidP="00FD7D95">
      <w:pPr>
        <w:bidi w:val="0"/>
        <w:jc w:val="center"/>
        <w:rPr>
          <w:b/>
          <w:bCs/>
        </w:rPr>
      </w:pPr>
    </w:p>
    <w:p w:rsidR="00FD7D95" w:rsidRDefault="00FD7D95" w:rsidP="00FD7D95">
      <w:pPr>
        <w:bidi w:val="0"/>
        <w:jc w:val="center"/>
        <w:rPr>
          <w:b/>
          <w:bCs/>
        </w:rPr>
      </w:pPr>
    </w:p>
    <w:p w:rsidR="00FD7D95" w:rsidRDefault="00FD7D95" w:rsidP="00FD7D95">
      <w:pPr>
        <w:bidi w:val="0"/>
        <w:jc w:val="center"/>
        <w:rPr>
          <w:b/>
          <w:bCs/>
        </w:rPr>
      </w:pPr>
    </w:p>
    <w:p w:rsidR="00521A9B" w:rsidRPr="00BB3CE0" w:rsidRDefault="00521A9B" w:rsidP="00FD7D95">
      <w:pPr>
        <w:bidi w:val="0"/>
        <w:jc w:val="center"/>
        <w:rPr>
          <w:rFonts w:ascii="Arial" w:hAnsi="Arial" w:cs="Arial"/>
          <w:b/>
          <w:bCs/>
          <w:sz w:val="22"/>
          <w:szCs w:val="22"/>
          <w:rtl/>
        </w:rPr>
      </w:pPr>
      <w:r w:rsidRPr="00BB3CE0">
        <w:rPr>
          <w:rFonts w:ascii="Arial" w:hAnsi="Arial" w:cs="Arial"/>
          <w:b/>
          <w:bCs/>
          <w:sz w:val="22"/>
          <w:szCs w:val="22"/>
        </w:rPr>
        <w:lastRenderedPageBreak/>
        <w:t xml:space="preserve">Percentage of </w:t>
      </w:r>
      <w:r w:rsidR="00DA7DF6">
        <w:rPr>
          <w:rFonts w:ascii="Arial" w:hAnsi="Arial" w:cs="Arial"/>
          <w:b/>
          <w:bCs/>
          <w:sz w:val="22"/>
          <w:szCs w:val="22"/>
        </w:rPr>
        <w:t>Persons</w:t>
      </w:r>
      <w:r w:rsidR="00080584">
        <w:rPr>
          <w:rFonts w:ascii="Arial" w:hAnsi="Arial" w:cs="Arial"/>
          <w:b/>
          <w:bCs/>
          <w:sz w:val="22"/>
          <w:szCs w:val="22"/>
        </w:rPr>
        <w:t xml:space="preserve"> </w:t>
      </w:r>
      <w:r w:rsidR="00080584" w:rsidRPr="00BB3CE0">
        <w:rPr>
          <w:rFonts w:ascii="Arial" w:hAnsi="Arial" w:cs="Arial"/>
          <w:b/>
          <w:bCs/>
          <w:sz w:val="22"/>
          <w:szCs w:val="22"/>
        </w:rPr>
        <w:t xml:space="preserve">(18 years and above) </w:t>
      </w:r>
      <w:r w:rsidRPr="00BB3CE0">
        <w:rPr>
          <w:rFonts w:ascii="Arial" w:hAnsi="Arial" w:cs="Arial"/>
          <w:b/>
          <w:bCs/>
          <w:sz w:val="22"/>
          <w:szCs w:val="22"/>
        </w:rPr>
        <w:t>knowledge* in Palestine by</w:t>
      </w:r>
      <w:r w:rsidR="00433EDC" w:rsidRPr="00BB3CE0">
        <w:rPr>
          <w:rFonts w:ascii="Arial" w:hAnsi="Arial" w:cs="Arial"/>
          <w:b/>
          <w:bCs/>
          <w:sz w:val="22"/>
          <w:szCs w:val="22"/>
        </w:rPr>
        <w:t xml:space="preserve"> a</w:t>
      </w:r>
      <w:r w:rsidRPr="00BB3CE0">
        <w:rPr>
          <w:rFonts w:ascii="Arial" w:hAnsi="Arial" w:cs="Arial"/>
          <w:b/>
          <w:bCs/>
          <w:sz w:val="22"/>
          <w:szCs w:val="22"/>
        </w:rPr>
        <w:t xml:space="preserve"> </w:t>
      </w:r>
      <w:r w:rsidR="00433EDC" w:rsidRPr="00BB3CE0">
        <w:rPr>
          <w:rFonts w:ascii="Arial" w:hAnsi="Arial" w:cs="Arial"/>
          <w:b/>
          <w:bCs/>
          <w:sz w:val="22"/>
          <w:szCs w:val="22"/>
        </w:rPr>
        <w:t>claim</w:t>
      </w:r>
      <w:r w:rsidRPr="00BB3CE0">
        <w:rPr>
          <w:rFonts w:ascii="Arial" w:hAnsi="Arial" w:cs="Arial"/>
          <w:b/>
          <w:bCs/>
          <w:color w:val="FF0000"/>
          <w:sz w:val="22"/>
          <w:szCs w:val="22"/>
        </w:rPr>
        <w:t xml:space="preserve"> </w:t>
      </w:r>
      <w:r w:rsidRPr="00BB3CE0">
        <w:rPr>
          <w:rFonts w:ascii="Arial" w:hAnsi="Arial" w:cs="Arial"/>
          <w:b/>
          <w:bCs/>
          <w:sz w:val="22"/>
          <w:szCs w:val="22"/>
        </w:rPr>
        <w:t xml:space="preserve">procedures at </w:t>
      </w:r>
      <w:r w:rsidR="009B2AD8" w:rsidRPr="00BB3CE0">
        <w:rPr>
          <w:rFonts w:ascii="Arial" w:hAnsi="Arial" w:cs="Arial"/>
          <w:b/>
          <w:bCs/>
          <w:sz w:val="22"/>
          <w:szCs w:val="22"/>
        </w:rPr>
        <w:t xml:space="preserve">Palestinian </w:t>
      </w:r>
      <w:r w:rsidRPr="00BB3CE0">
        <w:rPr>
          <w:rFonts w:ascii="Arial" w:hAnsi="Arial" w:cs="Arial"/>
          <w:b/>
          <w:bCs/>
          <w:sz w:val="22"/>
          <w:szCs w:val="22"/>
        </w:rPr>
        <w:t>security and justice institutions by institution, September-October 2018</w:t>
      </w:r>
    </w:p>
    <w:tbl>
      <w:tblPr>
        <w:tblStyle w:val="TableGrid"/>
        <w:tblW w:w="0" w:type="auto"/>
        <w:jc w:val="center"/>
        <w:tblInd w:w="299" w:type="dxa"/>
        <w:tblLook w:val="04A0"/>
      </w:tblPr>
      <w:tblGrid>
        <w:gridCol w:w="8921"/>
      </w:tblGrid>
      <w:tr w:rsidR="00F051D5" w:rsidRPr="00A73F21" w:rsidTr="00B767AC">
        <w:trPr>
          <w:jc w:val="center"/>
        </w:trPr>
        <w:tc>
          <w:tcPr>
            <w:tcW w:w="8804" w:type="dxa"/>
          </w:tcPr>
          <w:p w:rsidR="00F051D5" w:rsidRPr="00A73F21" w:rsidRDefault="00A153EC" w:rsidP="00AF40B0">
            <w:pPr>
              <w:bidi w:val="0"/>
              <w:jc w:val="center"/>
              <w:rPr>
                <w:rFonts w:ascii="Arial" w:hAnsi="Arial" w:cs="Arial"/>
                <w:b/>
                <w:bCs/>
                <w:sz w:val="22"/>
                <w:szCs w:val="22"/>
              </w:rPr>
            </w:pPr>
            <w:r w:rsidRPr="00A73F21">
              <w:rPr>
                <w:rFonts w:ascii="Arial" w:hAnsi="Arial" w:cs="Arial" w:hint="cs"/>
                <w:b/>
                <w:bCs/>
                <w:noProof/>
                <w:sz w:val="22"/>
                <w:szCs w:val="22"/>
                <w:lang w:eastAsia="en-US"/>
              </w:rPr>
              <w:drawing>
                <wp:inline distT="0" distB="0" distL="0" distR="0">
                  <wp:extent cx="5527589" cy="2372497"/>
                  <wp:effectExtent l="0" t="0" r="0" b="0"/>
                  <wp:docPr id="3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F051D5" w:rsidRPr="00BB3CE0" w:rsidRDefault="004228D8" w:rsidP="00AF40B0">
      <w:pPr>
        <w:bidi w:val="0"/>
        <w:rPr>
          <w:rFonts w:ascii="Arial" w:hAnsi="Arial" w:cs="Arial"/>
          <w:b/>
          <w:bCs/>
          <w:sz w:val="22"/>
          <w:szCs w:val="22"/>
        </w:rPr>
      </w:pPr>
      <w:r w:rsidRPr="00BB3CE0">
        <w:rPr>
          <w:rFonts w:ascii="Arial" w:hAnsi="Arial" w:cs="Arial"/>
          <w:sz w:val="18"/>
          <w:szCs w:val="18"/>
        </w:rPr>
        <w:t>* Knowledge included good knowledge and basic knowledge</w:t>
      </w:r>
    </w:p>
    <w:p w:rsidR="00462F57" w:rsidRDefault="00462F57" w:rsidP="00462F57">
      <w:pPr>
        <w:bidi w:val="0"/>
        <w:jc w:val="both"/>
        <w:rPr>
          <w:b/>
          <w:bCs/>
        </w:rPr>
      </w:pPr>
    </w:p>
    <w:tbl>
      <w:tblPr>
        <w:tblStyle w:val="TableGrid"/>
        <w:tblW w:w="9072" w:type="dxa"/>
        <w:jc w:val="center"/>
        <w:tblLook w:val="04A0"/>
      </w:tblPr>
      <w:tblGrid>
        <w:gridCol w:w="9072"/>
      </w:tblGrid>
      <w:tr w:rsidR="00D04308" w:rsidRPr="00462F57" w:rsidTr="00BB3CE0">
        <w:trPr>
          <w:jc w:val="center"/>
        </w:trPr>
        <w:tc>
          <w:tcPr>
            <w:tcW w:w="9072" w:type="dxa"/>
            <w:vAlign w:val="center"/>
          </w:tcPr>
          <w:p w:rsidR="00D04308" w:rsidRPr="00462F57" w:rsidRDefault="00D04308" w:rsidP="00D04308">
            <w:pPr>
              <w:bidi w:val="0"/>
              <w:jc w:val="center"/>
              <w:rPr>
                <w:sz w:val="16"/>
                <w:szCs w:val="16"/>
                <w:lang w:eastAsia="en-US"/>
              </w:rPr>
            </w:pPr>
            <w:r w:rsidRPr="00462F57">
              <w:rPr>
                <w:b/>
                <w:bCs/>
                <w:lang w:eastAsia="en-US"/>
              </w:rPr>
              <w:t xml:space="preserve">The majority of </w:t>
            </w:r>
            <w:r w:rsidR="00DA7DF6">
              <w:rPr>
                <w:b/>
                <w:bCs/>
                <w:lang w:eastAsia="en-US"/>
              </w:rPr>
              <w:t>persons</w:t>
            </w:r>
            <w:r w:rsidR="00080584">
              <w:rPr>
                <w:b/>
                <w:bCs/>
                <w:lang w:eastAsia="en-US"/>
              </w:rPr>
              <w:t xml:space="preserve"> (18 years and above)</w:t>
            </w:r>
            <w:r w:rsidRPr="00462F57">
              <w:rPr>
                <w:b/>
                <w:bCs/>
                <w:lang w:eastAsia="en-US"/>
              </w:rPr>
              <w:t xml:space="preserve"> believe that the official judiciary (courts)</w:t>
            </w:r>
            <w:r w:rsidRPr="00462F57">
              <w:rPr>
                <w:b/>
                <w:bCs/>
                <w:sz w:val="22"/>
                <w:szCs w:val="22"/>
                <w:lang w:eastAsia="en-US"/>
              </w:rPr>
              <w:t xml:space="preserve"> </w:t>
            </w:r>
            <w:r w:rsidRPr="00462F57">
              <w:rPr>
                <w:b/>
                <w:bCs/>
                <w:lang w:eastAsia="en-US"/>
              </w:rPr>
              <w:t>are the only legal body for solving any future conflicts and disputes</w:t>
            </w:r>
          </w:p>
        </w:tc>
      </w:tr>
    </w:tbl>
    <w:p w:rsidR="00D04308" w:rsidRPr="00B767AC" w:rsidRDefault="00D04308" w:rsidP="00D04308">
      <w:pPr>
        <w:bidi w:val="0"/>
        <w:jc w:val="both"/>
        <w:rPr>
          <w:sz w:val="20"/>
          <w:szCs w:val="20"/>
          <w:lang w:eastAsia="en-US"/>
        </w:rPr>
      </w:pPr>
    </w:p>
    <w:p w:rsidR="00521A9B" w:rsidRDefault="00521A9B" w:rsidP="00F10BCF">
      <w:pPr>
        <w:bidi w:val="0"/>
        <w:jc w:val="both"/>
        <w:rPr>
          <w:lang w:eastAsia="en-US"/>
        </w:rPr>
      </w:pPr>
      <w:r w:rsidRPr="00462F57">
        <w:rPr>
          <w:lang w:eastAsia="en-US"/>
        </w:rPr>
        <w:t>The results showed that 84.9% of males and 84.6% of females in Palestine believe that they will approach the courts in case of facing future conflicts and disputes because they are the sole Legal authority through which disputes are solved, while 34.5% of males and 38.6% of females consider that informal or tribal judiciary is ineffective</w:t>
      </w:r>
      <w:r w:rsidR="006337C5" w:rsidRPr="00462F57">
        <w:rPr>
          <w:lang w:eastAsia="en-US"/>
        </w:rPr>
        <w:t>.</w:t>
      </w:r>
      <w:r w:rsidR="00C72978" w:rsidRPr="00462F57">
        <w:rPr>
          <w:lang w:eastAsia="en-US"/>
        </w:rPr>
        <w:t xml:space="preserve"> </w:t>
      </w:r>
      <w:r w:rsidR="006337C5" w:rsidRPr="00462F57">
        <w:rPr>
          <w:lang w:eastAsia="en-US"/>
        </w:rPr>
        <w:t xml:space="preserve">(see table </w:t>
      </w:r>
      <w:r w:rsidR="00856AC5" w:rsidRPr="00462F57">
        <w:rPr>
          <w:lang w:eastAsia="en-US"/>
        </w:rPr>
        <w:t>11</w:t>
      </w:r>
      <w:r w:rsidR="006337C5" w:rsidRPr="00462F57">
        <w:rPr>
          <w:lang w:eastAsia="en-US"/>
        </w:rPr>
        <w:t>)</w:t>
      </w:r>
      <w:r w:rsidR="005B4307" w:rsidRPr="00462F57">
        <w:rPr>
          <w:lang w:eastAsia="en-US"/>
        </w:rPr>
        <w:t>.</w:t>
      </w:r>
    </w:p>
    <w:p w:rsidR="00B767AC" w:rsidRPr="00462F57" w:rsidRDefault="00B767AC" w:rsidP="00B767AC">
      <w:pPr>
        <w:bidi w:val="0"/>
        <w:jc w:val="both"/>
        <w:rPr>
          <w:rtl/>
          <w:lang w:eastAsia="en-US"/>
        </w:rPr>
      </w:pPr>
    </w:p>
    <w:p w:rsidR="00D30D37" w:rsidRPr="00BB3CE0" w:rsidRDefault="00D30D37" w:rsidP="00514C60">
      <w:pPr>
        <w:bidi w:val="0"/>
        <w:ind w:left="70"/>
        <w:jc w:val="center"/>
        <w:rPr>
          <w:rFonts w:ascii="Arial" w:hAnsi="Arial" w:cs="Arial"/>
          <w:b/>
          <w:bCs/>
          <w:sz w:val="22"/>
          <w:szCs w:val="22"/>
          <w:rtl/>
          <w:lang w:eastAsia="en-US"/>
        </w:rPr>
      </w:pPr>
      <w:r w:rsidRPr="00BB3CE0">
        <w:rPr>
          <w:rFonts w:ascii="Arial" w:hAnsi="Arial" w:cs="Arial"/>
          <w:b/>
          <w:bCs/>
          <w:sz w:val="22"/>
          <w:szCs w:val="22"/>
          <w:lang w:eastAsia="en-US"/>
        </w:rPr>
        <w:t xml:space="preserve">Percentage of </w:t>
      </w:r>
      <w:r w:rsidR="00DA7DF6">
        <w:rPr>
          <w:rFonts w:ascii="Arial" w:hAnsi="Arial" w:cs="Arial"/>
          <w:b/>
          <w:bCs/>
          <w:sz w:val="22"/>
          <w:szCs w:val="22"/>
          <w:lang w:eastAsia="en-US"/>
        </w:rPr>
        <w:t>Persons</w:t>
      </w:r>
      <w:r w:rsidRPr="00BB3CE0">
        <w:rPr>
          <w:rFonts w:ascii="Arial" w:hAnsi="Arial" w:cs="Arial"/>
          <w:b/>
          <w:bCs/>
          <w:sz w:val="22"/>
          <w:szCs w:val="22"/>
          <w:lang w:eastAsia="en-US"/>
        </w:rPr>
        <w:t xml:space="preserve"> (18 years and above)</w:t>
      </w:r>
      <w:r w:rsidR="004B49EA" w:rsidRPr="00BB3CE0">
        <w:rPr>
          <w:rFonts w:ascii="Arial" w:hAnsi="Arial" w:cs="Arial"/>
          <w:b/>
          <w:bCs/>
          <w:sz w:val="22"/>
          <w:szCs w:val="22"/>
          <w:lang w:eastAsia="en-US"/>
        </w:rPr>
        <w:t xml:space="preserve"> </w:t>
      </w:r>
      <w:r w:rsidR="00514C60" w:rsidRPr="00BB3CE0">
        <w:rPr>
          <w:rFonts w:ascii="Arial" w:hAnsi="Arial" w:cs="Arial"/>
          <w:b/>
          <w:bCs/>
          <w:sz w:val="22"/>
          <w:szCs w:val="22"/>
        </w:rPr>
        <w:t xml:space="preserve">in Palestine </w:t>
      </w:r>
      <w:r w:rsidR="004B49EA" w:rsidRPr="00BB3CE0">
        <w:rPr>
          <w:rFonts w:ascii="Arial" w:hAnsi="Arial" w:cs="Arial"/>
          <w:b/>
          <w:bCs/>
          <w:sz w:val="22"/>
          <w:szCs w:val="22"/>
          <w:lang w:eastAsia="en-US"/>
        </w:rPr>
        <w:t xml:space="preserve">by their </w:t>
      </w:r>
      <w:r w:rsidR="00521A9B" w:rsidRPr="00BB3CE0">
        <w:rPr>
          <w:rFonts w:ascii="Arial" w:hAnsi="Arial" w:cs="Arial"/>
          <w:b/>
          <w:bCs/>
          <w:sz w:val="22"/>
          <w:szCs w:val="22"/>
          <w:lang w:eastAsia="en-US"/>
        </w:rPr>
        <w:t>Opinion</w:t>
      </w:r>
      <w:r w:rsidR="004B49EA" w:rsidRPr="00BB3CE0">
        <w:rPr>
          <w:rFonts w:ascii="Arial" w:hAnsi="Arial" w:cs="Arial"/>
          <w:b/>
          <w:bCs/>
          <w:sz w:val="22"/>
          <w:szCs w:val="22"/>
          <w:lang w:eastAsia="en-US"/>
        </w:rPr>
        <w:t xml:space="preserve"> </w:t>
      </w:r>
      <w:r w:rsidR="00521A9B" w:rsidRPr="00BB3CE0">
        <w:rPr>
          <w:rFonts w:ascii="Arial" w:hAnsi="Arial" w:cs="Arial"/>
          <w:b/>
          <w:bCs/>
          <w:sz w:val="22"/>
          <w:szCs w:val="22"/>
          <w:lang w:eastAsia="en-US"/>
        </w:rPr>
        <w:t>on the</w:t>
      </w:r>
      <w:r w:rsidR="004B49EA" w:rsidRPr="00BB3CE0">
        <w:rPr>
          <w:rFonts w:ascii="Arial" w:hAnsi="Arial" w:cs="Arial"/>
          <w:b/>
          <w:bCs/>
          <w:sz w:val="22"/>
          <w:szCs w:val="22"/>
          <w:lang w:eastAsia="en-US"/>
        </w:rPr>
        <w:t xml:space="preserve"> </w:t>
      </w:r>
      <w:r w:rsidR="00521A9B" w:rsidRPr="00BB3CE0">
        <w:rPr>
          <w:rFonts w:ascii="Arial" w:hAnsi="Arial" w:cs="Arial"/>
          <w:b/>
          <w:bCs/>
          <w:sz w:val="22"/>
          <w:szCs w:val="22"/>
          <w:lang w:eastAsia="en-US"/>
        </w:rPr>
        <w:t>Reason</w:t>
      </w:r>
      <w:r w:rsidR="004B49EA" w:rsidRPr="00BB3CE0">
        <w:rPr>
          <w:rFonts w:ascii="Arial" w:hAnsi="Arial" w:cs="Arial"/>
          <w:b/>
          <w:bCs/>
          <w:sz w:val="22"/>
          <w:szCs w:val="22"/>
          <w:lang w:eastAsia="en-US"/>
        </w:rPr>
        <w:t xml:space="preserve"> for</w:t>
      </w:r>
      <w:r w:rsidR="00521A9B" w:rsidRPr="00BB3CE0">
        <w:rPr>
          <w:rFonts w:ascii="Arial" w:hAnsi="Arial" w:cs="Arial"/>
          <w:b/>
          <w:bCs/>
          <w:sz w:val="22"/>
          <w:szCs w:val="22"/>
          <w:lang w:eastAsia="en-US"/>
        </w:rPr>
        <w:t xml:space="preserve"> Approaching</w:t>
      </w:r>
      <w:r w:rsidRPr="00BB3CE0">
        <w:rPr>
          <w:rFonts w:ascii="Arial" w:hAnsi="Arial" w:cs="Arial"/>
          <w:b/>
          <w:bCs/>
          <w:sz w:val="22"/>
          <w:szCs w:val="22"/>
          <w:lang w:eastAsia="en-US"/>
        </w:rPr>
        <w:t xml:space="preserve"> the Official Judiciary</w:t>
      </w:r>
      <w:r w:rsidR="00521A9B" w:rsidRPr="00BB3CE0">
        <w:rPr>
          <w:rFonts w:ascii="Arial" w:hAnsi="Arial" w:cs="Arial"/>
          <w:b/>
          <w:bCs/>
          <w:sz w:val="22"/>
          <w:szCs w:val="22"/>
          <w:lang w:eastAsia="en-US"/>
        </w:rPr>
        <w:t xml:space="preserve"> (Courts)</w:t>
      </w:r>
      <w:r w:rsidRPr="00BB3CE0">
        <w:rPr>
          <w:rFonts w:ascii="Arial" w:hAnsi="Arial" w:cs="Arial"/>
          <w:b/>
          <w:bCs/>
          <w:sz w:val="22"/>
          <w:szCs w:val="22"/>
          <w:lang w:eastAsia="en-US"/>
        </w:rPr>
        <w:t xml:space="preserve"> in Case of Future Disputes, September-October 2018</w:t>
      </w:r>
    </w:p>
    <w:tbl>
      <w:tblPr>
        <w:bidiVisual/>
        <w:tblW w:w="0" w:type="auto"/>
        <w:jc w:val="center"/>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81"/>
      </w:tblGrid>
      <w:tr w:rsidR="004B284E" w:rsidRPr="00A73F21" w:rsidTr="00B767AC">
        <w:trPr>
          <w:trHeight w:val="3717"/>
          <w:jc w:val="center"/>
        </w:trPr>
        <w:tc>
          <w:tcPr>
            <w:tcW w:w="8881" w:type="dxa"/>
          </w:tcPr>
          <w:p w:rsidR="00F16DF4" w:rsidRPr="00A73F21" w:rsidRDefault="004228D8" w:rsidP="00AF40B0">
            <w:pPr>
              <w:bidi w:val="0"/>
              <w:jc w:val="center"/>
            </w:pPr>
            <w:r w:rsidRPr="00A73F21">
              <w:rPr>
                <w:rFonts w:hint="cs"/>
                <w:noProof/>
                <w:rtl/>
                <w:lang w:eastAsia="en-US"/>
              </w:rPr>
              <w:drawing>
                <wp:inline distT="0" distB="0" distL="0" distR="0">
                  <wp:extent cx="5288692" cy="2866768"/>
                  <wp:effectExtent l="0" t="0" r="0" b="0"/>
                  <wp:docPr id="37"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0B6804" w:rsidRDefault="000B6804" w:rsidP="00AF40B0">
      <w:pPr>
        <w:bidi w:val="0"/>
        <w:ind w:left="70"/>
        <w:jc w:val="lowKashida"/>
        <w:rPr>
          <w:rFonts w:asciiTheme="majorBidi" w:hAnsiTheme="majorBidi" w:cstheme="majorBidi"/>
          <w:sz w:val="22"/>
          <w:szCs w:val="22"/>
          <w:lang w:eastAsia="en-US"/>
        </w:rPr>
      </w:pPr>
    </w:p>
    <w:p w:rsidR="00FD7D95" w:rsidRDefault="00FD7D95" w:rsidP="00FD7D95">
      <w:pPr>
        <w:bidi w:val="0"/>
        <w:ind w:left="70"/>
        <w:jc w:val="lowKashida"/>
        <w:rPr>
          <w:rFonts w:asciiTheme="majorBidi" w:hAnsiTheme="majorBidi" w:cstheme="majorBidi"/>
          <w:sz w:val="22"/>
          <w:szCs w:val="22"/>
          <w:lang w:eastAsia="en-US"/>
        </w:rPr>
      </w:pPr>
    </w:p>
    <w:p w:rsidR="00FD7D95" w:rsidRDefault="00FD7D95" w:rsidP="00FD7D95">
      <w:pPr>
        <w:bidi w:val="0"/>
        <w:ind w:left="70"/>
        <w:jc w:val="lowKashida"/>
        <w:rPr>
          <w:rFonts w:asciiTheme="majorBidi" w:hAnsiTheme="majorBidi" w:cstheme="majorBidi"/>
          <w:sz w:val="22"/>
          <w:szCs w:val="22"/>
          <w:lang w:eastAsia="en-US"/>
        </w:rPr>
      </w:pPr>
    </w:p>
    <w:p w:rsidR="00FD7D95" w:rsidRDefault="00FD7D95" w:rsidP="00FD7D95">
      <w:pPr>
        <w:bidi w:val="0"/>
        <w:ind w:left="70"/>
        <w:jc w:val="lowKashida"/>
        <w:rPr>
          <w:rFonts w:asciiTheme="majorBidi" w:hAnsiTheme="majorBidi" w:cstheme="majorBidi"/>
          <w:sz w:val="22"/>
          <w:szCs w:val="22"/>
          <w:lang w:eastAsia="en-US"/>
        </w:rPr>
      </w:pPr>
    </w:p>
    <w:p w:rsidR="00FD7D95" w:rsidRPr="00B767AC" w:rsidRDefault="00FD7D95" w:rsidP="00FD7D95">
      <w:pPr>
        <w:bidi w:val="0"/>
        <w:ind w:left="70"/>
        <w:jc w:val="lowKashida"/>
        <w:rPr>
          <w:rFonts w:asciiTheme="majorBidi" w:hAnsiTheme="majorBidi" w:cstheme="majorBidi"/>
          <w:sz w:val="22"/>
          <w:szCs w:val="22"/>
          <w:rtl/>
          <w:lang w:eastAsia="en-US"/>
        </w:rPr>
      </w:pPr>
    </w:p>
    <w:tbl>
      <w:tblPr>
        <w:tblStyle w:val="TableGrid"/>
        <w:tblW w:w="8718" w:type="dxa"/>
        <w:jc w:val="center"/>
        <w:tblInd w:w="142" w:type="dxa"/>
        <w:tblLook w:val="04A0"/>
      </w:tblPr>
      <w:tblGrid>
        <w:gridCol w:w="8718"/>
      </w:tblGrid>
      <w:tr w:rsidR="00D04308" w:rsidRPr="00462F57" w:rsidTr="00B767AC">
        <w:trPr>
          <w:jc w:val="center"/>
        </w:trPr>
        <w:tc>
          <w:tcPr>
            <w:tcW w:w="8718" w:type="dxa"/>
            <w:vAlign w:val="center"/>
          </w:tcPr>
          <w:p w:rsidR="00D04308" w:rsidRPr="00462F57" w:rsidRDefault="00D04308" w:rsidP="00D04308">
            <w:pPr>
              <w:bidi w:val="0"/>
              <w:jc w:val="center"/>
              <w:rPr>
                <w:lang w:eastAsia="en-US"/>
              </w:rPr>
            </w:pPr>
            <w:r w:rsidRPr="00462F57">
              <w:rPr>
                <w:b/>
                <w:bCs/>
                <w:lang w:eastAsia="en-US"/>
              </w:rPr>
              <w:lastRenderedPageBreak/>
              <w:t>The long time taken by official judiciary was the most important reason for not approaching them in case of facing future conflicts or disputes</w:t>
            </w:r>
          </w:p>
        </w:tc>
      </w:tr>
    </w:tbl>
    <w:p w:rsidR="00D04308" w:rsidRPr="00B767AC" w:rsidRDefault="00D04308" w:rsidP="00D04308">
      <w:pPr>
        <w:bidi w:val="0"/>
        <w:jc w:val="lowKashida"/>
        <w:rPr>
          <w:sz w:val="20"/>
          <w:szCs w:val="20"/>
          <w:lang w:eastAsia="en-US"/>
        </w:rPr>
      </w:pPr>
    </w:p>
    <w:p w:rsidR="000B6804" w:rsidRPr="00462F57" w:rsidRDefault="000B6804" w:rsidP="00883F65">
      <w:pPr>
        <w:bidi w:val="0"/>
        <w:jc w:val="lowKashida"/>
        <w:rPr>
          <w:lang w:eastAsia="en-US"/>
        </w:rPr>
      </w:pPr>
      <w:r w:rsidRPr="00462F57">
        <w:rPr>
          <w:lang w:eastAsia="en-US"/>
        </w:rPr>
        <w:t xml:space="preserve">On the other hand, the most important reason for </w:t>
      </w:r>
      <w:r w:rsidR="00DA7DF6">
        <w:rPr>
          <w:lang w:eastAsia="en-US"/>
        </w:rPr>
        <w:t>persons</w:t>
      </w:r>
      <w:r w:rsidR="00883F65">
        <w:rPr>
          <w:lang w:eastAsia="en-US"/>
        </w:rPr>
        <w:t xml:space="preserve"> (18 years and above)</w:t>
      </w:r>
      <w:r w:rsidRPr="00462F57">
        <w:rPr>
          <w:lang w:eastAsia="en-US"/>
        </w:rPr>
        <w:t xml:space="preserve"> for not approaching the Official Judiciary is</w:t>
      </w:r>
      <w:r w:rsidRPr="00462F57">
        <w:t xml:space="preserve"> that the </w:t>
      </w:r>
      <w:r w:rsidR="00883F65">
        <w:rPr>
          <w:lang w:eastAsia="en-US"/>
        </w:rPr>
        <w:t>c</w:t>
      </w:r>
      <w:r w:rsidRPr="00462F57">
        <w:rPr>
          <w:lang w:eastAsia="en-US"/>
        </w:rPr>
        <w:t>ourt cases take a long time to be solved with the percentage of 89.0% for males and 85.3% for females. While 81.4% of males and</w:t>
      </w:r>
      <w:r w:rsidR="00514C60" w:rsidRPr="00462F57">
        <w:rPr>
          <w:lang w:eastAsia="en-US"/>
        </w:rPr>
        <w:t xml:space="preserve"> </w:t>
      </w:r>
      <w:r w:rsidRPr="00462F57">
        <w:rPr>
          <w:lang w:eastAsia="en-US"/>
        </w:rPr>
        <w:t>77.1% of females considered that the tribal judiciary is faster than approaching the courts</w:t>
      </w:r>
      <w:r w:rsidR="006337C5" w:rsidRPr="00462F57">
        <w:rPr>
          <w:lang w:eastAsia="en-US"/>
        </w:rPr>
        <w:t>.</w:t>
      </w:r>
      <w:r w:rsidR="00514C60" w:rsidRPr="00462F57">
        <w:rPr>
          <w:lang w:eastAsia="en-US"/>
        </w:rPr>
        <w:t xml:space="preserve"> </w:t>
      </w:r>
      <w:r w:rsidR="006337C5" w:rsidRPr="00462F57">
        <w:rPr>
          <w:lang w:eastAsia="en-US"/>
        </w:rPr>
        <w:t xml:space="preserve">(see </w:t>
      </w:r>
      <w:r w:rsidR="00883F65">
        <w:rPr>
          <w:lang w:eastAsia="en-US"/>
        </w:rPr>
        <w:t xml:space="preserve">       </w:t>
      </w:r>
      <w:r w:rsidR="006337C5" w:rsidRPr="00462F57">
        <w:rPr>
          <w:lang w:eastAsia="en-US"/>
        </w:rPr>
        <w:t xml:space="preserve">table </w:t>
      </w:r>
      <w:r w:rsidR="00856AC5" w:rsidRPr="00462F57">
        <w:rPr>
          <w:lang w:eastAsia="en-US"/>
        </w:rPr>
        <w:t>12</w:t>
      </w:r>
      <w:r w:rsidR="006337C5" w:rsidRPr="00462F57">
        <w:rPr>
          <w:lang w:eastAsia="en-US"/>
        </w:rPr>
        <w:t>)</w:t>
      </w:r>
      <w:r w:rsidR="005B4307" w:rsidRPr="00462F57">
        <w:rPr>
          <w:lang w:eastAsia="en-US"/>
        </w:rPr>
        <w:t>.</w:t>
      </w:r>
    </w:p>
    <w:p w:rsidR="00981DEC" w:rsidRPr="00B767AC" w:rsidRDefault="00981DEC" w:rsidP="00981DEC">
      <w:pPr>
        <w:bidi w:val="0"/>
        <w:jc w:val="center"/>
        <w:rPr>
          <w:rFonts w:asciiTheme="majorBidi" w:hAnsiTheme="majorBidi" w:cstheme="majorBidi"/>
          <w:b/>
          <w:bCs/>
          <w:rtl/>
        </w:rPr>
      </w:pPr>
    </w:p>
    <w:p w:rsidR="004B49EA" w:rsidRPr="00BB3CE0" w:rsidRDefault="004B49EA" w:rsidP="00AF40B0">
      <w:pPr>
        <w:bidi w:val="0"/>
        <w:ind w:left="70"/>
        <w:jc w:val="center"/>
        <w:rPr>
          <w:rFonts w:ascii="Arial" w:hAnsi="Arial" w:cs="Arial"/>
          <w:b/>
          <w:bCs/>
          <w:sz w:val="22"/>
          <w:szCs w:val="22"/>
          <w:rtl/>
          <w:lang w:eastAsia="en-US"/>
        </w:rPr>
      </w:pPr>
      <w:r w:rsidRPr="00BB3CE0">
        <w:rPr>
          <w:rFonts w:ascii="Arial" w:hAnsi="Arial" w:cs="Arial"/>
          <w:b/>
          <w:bCs/>
          <w:sz w:val="22"/>
          <w:szCs w:val="22"/>
          <w:lang w:eastAsia="en-US"/>
        </w:rPr>
        <w:t xml:space="preserve">Percentage of </w:t>
      </w:r>
      <w:r w:rsidR="00DA7DF6">
        <w:rPr>
          <w:rFonts w:ascii="Arial" w:hAnsi="Arial" w:cs="Arial"/>
          <w:b/>
          <w:bCs/>
          <w:sz w:val="22"/>
          <w:szCs w:val="22"/>
          <w:lang w:eastAsia="en-US"/>
        </w:rPr>
        <w:t>Persons</w:t>
      </w:r>
      <w:r w:rsidRPr="00BB3CE0">
        <w:rPr>
          <w:rFonts w:ascii="Arial" w:hAnsi="Arial" w:cs="Arial"/>
          <w:b/>
          <w:bCs/>
          <w:sz w:val="22"/>
          <w:szCs w:val="22"/>
          <w:lang w:eastAsia="en-US"/>
        </w:rPr>
        <w:t xml:space="preserve"> (18 years and above) </w:t>
      </w:r>
      <w:r w:rsidR="00514C60" w:rsidRPr="00BB3CE0">
        <w:rPr>
          <w:rFonts w:ascii="Arial" w:hAnsi="Arial" w:cs="Arial"/>
          <w:b/>
          <w:bCs/>
          <w:sz w:val="22"/>
          <w:szCs w:val="22"/>
        </w:rPr>
        <w:t xml:space="preserve">in Palestine </w:t>
      </w:r>
      <w:r w:rsidRPr="00BB3CE0">
        <w:rPr>
          <w:rFonts w:ascii="Arial" w:hAnsi="Arial" w:cs="Arial"/>
          <w:b/>
          <w:bCs/>
          <w:sz w:val="22"/>
          <w:szCs w:val="22"/>
          <w:lang w:eastAsia="en-US"/>
        </w:rPr>
        <w:t xml:space="preserve">by their opinion </w:t>
      </w:r>
      <w:r w:rsidR="000B6804" w:rsidRPr="00BB3CE0">
        <w:rPr>
          <w:rFonts w:ascii="Arial" w:hAnsi="Arial" w:cs="Arial"/>
          <w:b/>
          <w:bCs/>
          <w:sz w:val="22"/>
          <w:szCs w:val="22"/>
          <w:lang w:eastAsia="en-US"/>
        </w:rPr>
        <w:t>on the</w:t>
      </w:r>
      <w:r w:rsidRPr="00BB3CE0">
        <w:rPr>
          <w:rFonts w:ascii="Arial" w:hAnsi="Arial" w:cs="Arial"/>
          <w:b/>
          <w:bCs/>
          <w:sz w:val="22"/>
          <w:szCs w:val="22"/>
          <w:lang w:eastAsia="en-US"/>
        </w:rPr>
        <w:t xml:space="preserve"> reason for not </w:t>
      </w:r>
      <w:r w:rsidR="000B6804" w:rsidRPr="00BB3CE0">
        <w:rPr>
          <w:rFonts w:ascii="Arial" w:hAnsi="Arial" w:cs="Arial"/>
          <w:b/>
          <w:bCs/>
          <w:sz w:val="22"/>
          <w:szCs w:val="22"/>
          <w:lang w:eastAsia="en-US"/>
        </w:rPr>
        <w:t>Approaching</w:t>
      </w:r>
      <w:r w:rsidRPr="00BB3CE0">
        <w:rPr>
          <w:rFonts w:ascii="Arial" w:hAnsi="Arial" w:cs="Arial"/>
          <w:b/>
          <w:bCs/>
          <w:sz w:val="22"/>
          <w:szCs w:val="22"/>
          <w:lang w:eastAsia="en-US"/>
        </w:rPr>
        <w:t xml:space="preserve"> the Official Judiciary in Case of Future</w:t>
      </w:r>
      <w:r w:rsidR="000B6804" w:rsidRPr="00BB3CE0">
        <w:rPr>
          <w:rFonts w:ascii="Arial" w:hAnsi="Arial" w:cs="Arial"/>
          <w:b/>
          <w:bCs/>
          <w:sz w:val="22"/>
          <w:szCs w:val="22"/>
          <w:lang w:eastAsia="en-US"/>
        </w:rPr>
        <w:t xml:space="preserve"> Conflicts or</w:t>
      </w:r>
      <w:r w:rsidRPr="00BB3CE0">
        <w:rPr>
          <w:rFonts w:ascii="Arial" w:hAnsi="Arial" w:cs="Arial"/>
          <w:b/>
          <w:bCs/>
          <w:sz w:val="22"/>
          <w:szCs w:val="22"/>
          <w:lang w:eastAsia="en-US"/>
        </w:rPr>
        <w:t xml:space="preserve"> Disputes, September-October 2018</w:t>
      </w:r>
    </w:p>
    <w:tbl>
      <w:tblPr>
        <w:bidiVisual/>
        <w:tblW w:w="0" w:type="auto"/>
        <w:jc w:val="center"/>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67"/>
      </w:tblGrid>
      <w:tr w:rsidR="00000439" w:rsidRPr="00A73F21" w:rsidTr="00120BA0">
        <w:trPr>
          <w:trHeight w:val="3267"/>
          <w:jc w:val="center"/>
        </w:trPr>
        <w:tc>
          <w:tcPr>
            <w:tcW w:w="8867" w:type="dxa"/>
          </w:tcPr>
          <w:p w:rsidR="0022138B" w:rsidRPr="00A73F21" w:rsidRDefault="0006531E" w:rsidP="0006531E">
            <w:pPr>
              <w:bidi w:val="0"/>
              <w:rPr>
                <w:b/>
                <w:bCs/>
                <w:sz w:val="22"/>
                <w:szCs w:val="22"/>
                <w:rtl/>
              </w:rPr>
            </w:pPr>
            <w:r w:rsidRPr="00A73F21">
              <w:rPr>
                <w:rFonts w:hint="cs"/>
                <w:b/>
                <w:bCs/>
                <w:noProof/>
                <w:sz w:val="22"/>
                <w:szCs w:val="22"/>
                <w:rtl/>
                <w:lang w:eastAsia="en-US"/>
              </w:rPr>
              <w:drawing>
                <wp:inline distT="0" distB="0" distL="0" distR="0">
                  <wp:extent cx="5469925" cy="2306594"/>
                  <wp:effectExtent l="0" t="0" r="0" b="0"/>
                  <wp:docPr id="2"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120BA0" w:rsidRDefault="00120BA0" w:rsidP="00856AC5">
      <w:pPr>
        <w:bidi w:val="0"/>
        <w:jc w:val="both"/>
        <w:rPr>
          <w:sz w:val="18"/>
          <w:szCs w:val="18"/>
          <w:lang w:eastAsia="en-US"/>
        </w:rPr>
      </w:pPr>
    </w:p>
    <w:p w:rsidR="00D9485F" w:rsidRPr="00D9485F" w:rsidRDefault="00D9485F" w:rsidP="00D9485F">
      <w:pPr>
        <w:bidi w:val="0"/>
        <w:jc w:val="both"/>
        <w:rPr>
          <w:b/>
          <w:bCs/>
          <w:lang w:eastAsia="en-US"/>
        </w:rPr>
      </w:pPr>
      <w:r w:rsidRPr="00D9485F">
        <w:rPr>
          <w:b/>
          <w:bCs/>
          <w:lang w:eastAsia="en-US"/>
        </w:rPr>
        <w:t xml:space="preserve">2.2 Judges, </w:t>
      </w:r>
      <w:proofErr w:type="spellStart"/>
      <w:r w:rsidRPr="00D9485F">
        <w:rPr>
          <w:b/>
          <w:bCs/>
          <w:lang w:eastAsia="en-US"/>
        </w:rPr>
        <w:t>Shari'a</w:t>
      </w:r>
      <w:proofErr w:type="spellEnd"/>
      <w:r w:rsidRPr="00D9485F">
        <w:rPr>
          <w:b/>
          <w:bCs/>
          <w:lang w:eastAsia="en-US"/>
        </w:rPr>
        <w:t xml:space="preserve"> Judges and Prosecution Members</w:t>
      </w:r>
    </w:p>
    <w:p w:rsidR="00D9485F" w:rsidRDefault="00D9485F" w:rsidP="00D9485F">
      <w:pPr>
        <w:bidi w:val="0"/>
        <w:jc w:val="both"/>
        <w:rPr>
          <w:sz w:val="18"/>
          <w:szCs w:val="18"/>
          <w:lang w:eastAsia="en-US"/>
        </w:rPr>
      </w:pPr>
    </w:p>
    <w:p w:rsidR="00883F65" w:rsidRPr="00120BA0" w:rsidRDefault="00883F65" w:rsidP="00883F65">
      <w:pPr>
        <w:bidi w:val="0"/>
        <w:jc w:val="both"/>
        <w:rPr>
          <w:sz w:val="2"/>
          <w:szCs w:val="2"/>
          <w:lang w:eastAsia="en-US"/>
        </w:rPr>
      </w:pPr>
    </w:p>
    <w:tbl>
      <w:tblPr>
        <w:tblStyle w:val="TableGrid"/>
        <w:tblW w:w="0" w:type="auto"/>
        <w:jc w:val="center"/>
        <w:tblInd w:w="-107" w:type="dxa"/>
        <w:tblLook w:val="04A0"/>
      </w:tblPr>
      <w:tblGrid>
        <w:gridCol w:w="8966"/>
      </w:tblGrid>
      <w:tr w:rsidR="00B767AC" w:rsidTr="00120BA0">
        <w:trPr>
          <w:trHeight w:val="493"/>
          <w:jc w:val="center"/>
        </w:trPr>
        <w:tc>
          <w:tcPr>
            <w:tcW w:w="8966" w:type="dxa"/>
          </w:tcPr>
          <w:p w:rsidR="00120BA0" w:rsidRDefault="00B767AC" w:rsidP="00120BA0">
            <w:pPr>
              <w:bidi w:val="0"/>
              <w:jc w:val="center"/>
              <w:rPr>
                <w:b/>
                <w:bCs/>
              </w:rPr>
            </w:pPr>
            <w:r w:rsidRPr="009709AA">
              <w:rPr>
                <w:b/>
                <w:bCs/>
              </w:rPr>
              <w:t>The official judiciary is constantly improving from the point of view of the</w:t>
            </w:r>
          </w:p>
          <w:p w:rsidR="00B767AC" w:rsidRPr="00120BA0" w:rsidRDefault="00B767AC" w:rsidP="00120BA0">
            <w:pPr>
              <w:bidi w:val="0"/>
              <w:jc w:val="center"/>
              <w:rPr>
                <w:lang w:eastAsia="en-US"/>
              </w:rPr>
            </w:pPr>
            <w:r w:rsidRPr="009709AA">
              <w:rPr>
                <w:b/>
                <w:bCs/>
              </w:rPr>
              <w:t xml:space="preserve"> regular judges</w:t>
            </w:r>
            <w:r w:rsidR="00883F65">
              <w:rPr>
                <w:b/>
                <w:bCs/>
              </w:rPr>
              <w:t xml:space="preserve"> in the West Bank</w:t>
            </w:r>
            <w:r w:rsidR="00883F65">
              <w:rPr>
                <w:lang w:eastAsia="en-US"/>
              </w:rPr>
              <w:t xml:space="preserve"> </w:t>
            </w:r>
          </w:p>
        </w:tc>
      </w:tr>
    </w:tbl>
    <w:p w:rsidR="00B767AC" w:rsidRPr="009709AA" w:rsidRDefault="00B767AC" w:rsidP="00B767AC">
      <w:pPr>
        <w:bidi w:val="0"/>
        <w:jc w:val="both"/>
        <w:rPr>
          <w:sz w:val="18"/>
          <w:szCs w:val="18"/>
          <w:lang w:eastAsia="en-US"/>
        </w:rPr>
      </w:pPr>
    </w:p>
    <w:p w:rsidR="000B6804" w:rsidRPr="009709AA" w:rsidRDefault="000B6804" w:rsidP="00883F65">
      <w:pPr>
        <w:bidi w:val="0"/>
        <w:jc w:val="both"/>
        <w:rPr>
          <w:b/>
          <w:bCs/>
        </w:rPr>
      </w:pPr>
      <w:r w:rsidRPr="009709AA">
        <w:rPr>
          <w:lang w:eastAsia="en-US"/>
        </w:rPr>
        <w:t>The results showed that 60.9% of the regular judges in the West Bank believed that the situation of the official judiciary in Palestine is constantly improving, while the regular judges considered that the Palestinian justice institutions are sensitive to the issues of children by 59.6%; however, 28.5% believed that judgments issued by the official judiciary are subject to external influences and pressures</w:t>
      </w:r>
      <w:r w:rsidR="006337C5" w:rsidRPr="009709AA">
        <w:rPr>
          <w:lang w:eastAsia="en-US"/>
        </w:rPr>
        <w:t>.</w:t>
      </w:r>
      <w:r w:rsidR="00C72978" w:rsidRPr="009709AA">
        <w:rPr>
          <w:lang w:eastAsia="en-US"/>
        </w:rPr>
        <w:t xml:space="preserve"> </w:t>
      </w:r>
      <w:r w:rsidR="006337C5" w:rsidRPr="009709AA">
        <w:rPr>
          <w:lang w:eastAsia="en-US"/>
        </w:rPr>
        <w:t xml:space="preserve">(see table </w:t>
      </w:r>
      <w:r w:rsidR="00856AC5" w:rsidRPr="009709AA">
        <w:rPr>
          <w:lang w:eastAsia="en-US"/>
        </w:rPr>
        <w:t>22</w:t>
      </w:r>
      <w:r w:rsidR="006337C5" w:rsidRPr="009709AA">
        <w:rPr>
          <w:lang w:eastAsia="en-US"/>
        </w:rPr>
        <w:t>)</w:t>
      </w:r>
      <w:r w:rsidR="005B4307" w:rsidRPr="009709AA">
        <w:rPr>
          <w:b/>
          <w:bCs/>
        </w:rPr>
        <w:t>.</w:t>
      </w:r>
    </w:p>
    <w:p w:rsidR="00214FC8" w:rsidRPr="00A24F82" w:rsidRDefault="00214FC8" w:rsidP="00AF40B0">
      <w:pPr>
        <w:bidi w:val="0"/>
        <w:jc w:val="center"/>
        <w:rPr>
          <w:rFonts w:asciiTheme="majorBidi" w:hAnsiTheme="majorBidi" w:cstheme="majorBidi"/>
          <w:b/>
          <w:bCs/>
          <w:sz w:val="18"/>
          <w:szCs w:val="18"/>
          <w:rtl/>
        </w:rPr>
      </w:pPr>
    </w:p>
    <w:p w:rsidR="004B49EA" w:rsidRPr="00BB3CE0" w:rsidRDefault="004B49EA" w:rsidP="00AF40B0">
      <w:pPr>
        <w:bidi w:val="0"/>
        <w:jc w:val="center"/>
        <w:rPr>
          <w:rFonts w:ascii="Arial" w:hAnsi="Arial" w:cs="Arial"/>
          <w:b/>
          <w:bCs/>
          <w:sz w:val="22"/>
          <w:szCs w:val="22"/>
          <w:rtl/>
          <w:lang w:eastAsia="en-US"/>
        </w:rPr>
      </w:pPr>
      <w:r w:rsidRPr="00BB3CE0">
        <w:rPr>
          <w:rFonts w:ascii="Arial" w:hAnsi="Arial" w:cs="Arial"/>
          <w:b/>
          <w:bCs/>
          <w:sz w:val="22"/>
          <w:szCs w:val="22"/>
          <w:lang w:eastAsia="en-US"/>
        </w:rPr>
        <w:t>Percentage of Judges</w:t>
      </w:r>
      <w:r w:rsidR="00EE0FAA" w:rsidRPr="00BB3CE0">
        <w:rPr>
          <w:rFonts w:ascii="Arial" w:hAnsi="Arial" w:cs="Arial"/>
          <w:b/>
          <w:bCs/>
          <w:sz w:val="22"/>
          <w:szCs w:val="22"/>
          <w:lang w:eastAsia="en-US"/>
        </w:rPr>
        <w:t xml:space="preserve"> in West Bank</w:t>
      </w:r>
      <w:r w:rsidRPr="00BB3CE0">
        <w:rPr>
          <w:rFonts w:ascii="Arial" w:hAnsi="Arial" w:cs="Arial"/>
          <w:b/>
          <w:bCs/>
          <w:sz w:val="22"/>
          <w:szCs w:val="22"/>
          <w:lang w:eastAsia="en-US"/>
        </w:rPr>
        <w:t xml:space="preserve"> by their Opinion about the Situation of the Palestinian Justice Bodies, September-October 2018</w:t>
      </w:r>
    </w:p>
    <w:tbl>
      <w:tblPr>
        <w:tblStyle w:val="TableGrid"/>
        <w:bidiVisual/>
        <w:tblW w:w="0" w:type="auto"/>
        <w:jc w:val="center"/>
        <w:tblLook w:val="04A0"/>
      </w:tblPr>
      <w:tblGrid>
        <w:gridCol w:w="9270"/>
      </w:tblGrid>
      <w:tr w:rsidR="00676E54" w:rsidRPr="00A73F21" w:rsidTr="00E622EF">
        <w:trPr>
          <w:jc w:val="center"/>
        </w:trPr>
        <w:tc>
          <w:tcPr>
            <w:tcW w:w="9270" w:type="dxa"/>
          </w:tcPr>
          <w:p w:rsidR="00676E54" w:rsidRPr="00A73F21" w:rsidRDefault="00E622EF" w:rsidP="00AF40B0">
            <w:pPr>
              <w:autoSpaceDE w:val="0"/>
              <w:autoSpaceDN w:val="0"/>
              <w:bidi w:val="0"/>
              <w:adjustRightInd w:val="0"/>
              <w:ind w:right="60"/>
              <w:jc w:val="center"/>
              <w:rPr>
                <w:b/>
                <w:bCs/>
                <w:sz w:val="22"/>
                <w:szCs w:val="22"/>
                <w:rtl/>
              </w:rPr>
            </w:pPr>
            <w:r w:rsidRPr="00A73F21">
              <w:rPr>
                <w:b/>
                <w:bCs/>
                <w:noProof/>
                <w:sz w:val="22"/>
                <w:szCs w:val="22"/>
                <w:rtl/>
                <w:lang w:eastAsia="en-US"/>
              </w:rPr>
              <w:drawing>
                <wp:inline distT="0" distB="0" distL="0" distR="0">
                  <wp:extent cx="5476875" cy="2105025"/>
                  <wp:effectExtent l="0" t="0" r="0" b="0"/>
                  <wp:docPr id="4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BE7A25" w:rsidRDefault="00BE7A25" w:rsidP="00BE7A25">
      <w:pPr>
        <w:bidi w:val="0"/>
        <w:ind w:left="70"/>
        <w:jc w:val="lowKashida"/>
        <w:rPr>
          <w:rFonts w:asciiTheme="minorBidi" w:hAnsiTheme="minorBidi" w:cstheme="minorBidi"/>
          <w:b/>
          <w:bCs/>
          <w:color w:val="FF0000"/>
          <w:sz w:val="18"/>
          <w:szCs w:val="18"/>
        </w:rPr>
      </w:pPr>
    </w:p>
    <w:tbl>
      <w:tblPr>
        <w:tblStyle w:val="TableGrid"/>
        <w:tblW w:w="9072" w:type="dxa"/>
        <w:jc w:val="center"/>
        <w:tblLook w:val="04A0"/>
      </w:tblPr>
      <w:tblGrid>
        <w:gridCol w:w="9072"/>
      </w:tblGrid>
      <w:tr w:rsidR="000450AE" w:rsidRPr="009709AA" w:rsidTr="00FD7D95">
        <w:trPr>
          <w:trHeight w:val="340"/>
          <w:jc w:val="center"/>
        </w:trPr>
        <w:tc>
          <w:tcPr>
            <w:tcW w:w="9072" w:type="dxa"/>
            <w:vAlign w:val="center"/>
          </w:tcPr>
          <w:p w:rsidR="000450AE" w:rsidRPr="009709AA" w:rsidRDefault="000450AE" w:rsidP="00AC1EE7">
            <w:pPr>
              <w:bidi w:val="0"/>
              <w:jc w:val="center"/>
              <w:rPr>
                <w:b/>
                <w:bCs/>
                <w:color w:val="FF0000"/>
                <w:sz w:val="16"/>
                <w:szCs w:val="16"/>
              </w:rPr>
            </w:pPr>
            <w:r w:rsidRPr="009709AA">
              <w:rPr>
                <w:b/>
                <w:bCs/>
              </w:rPr>
              <w:lastRenderedPageBreak/>
              <w:t xml:space="preserve">Three out of four judges </w:t>
            </w:r>
            <w:r w:rsidR="006976D4">
              <w:rPr>
                <w:b/>
                <w:bCs/>
              </w:rPr>
              <w:t xml:space="preserve">in the West Bank </w:t>
            </w:r>
            <w:r w:rsidRPr="009709AA">
              <w:rPr>
                <w:b/>
                <w:bCs/>
              </w:rPr>
              <w:t>believe that the number of female judges is sufficient</w:t>
            </w:r>
          </w:p>
        </w:tc>
      </w:tr>
    </w:tbl>
    <w:p w:rsidR="000450AE" w:rsidRPr="009709AA" w:rsidRDefault="000450AE" w:rsidP="000450AE">
      <w:pPr>
        <w:bidi w:val="0"/>
        <w:ind w:left="70"/>
        <w:jc w:val="lowKashida"/>
        <w:rPr>
          <w:b/>
          <w:bCs/>
          <w:color w:val="FF0000"/>
          <w:sz w:val="18"/>
          <w:szCs w:val="18"/>
          <w:rtl/>
        </w:rPr>
      </w:pPr>
    </w:p>
    <w:p w:rsidR="001E3223" w:rsidRDefault="001E3223" w:rsidP="00BE7A25">
      <w:pPr>
        <w:bidi w:val="0"/>
      </w:pPr>
      <w:r w:rsidRPr="00DD779C">
        <w:t>The results show</w:t>
      </w:r>
      <w:r>
        <w:t>ed that 75.2% of the W</w:t>
      </w:r>
      <w:r w:rsidRPr="00DD779C">
        <w:t xml:space="preserve">est </w:t>
      </w:r>
      <w:r>
        <w:t>B</w:t>
      </w:r>
      <w:r w:rsidRPr="00DD779C">
        <w:t xml:space="preserve">ank judges believe that female judges are sufficient. With a </w:t>
      </w:r>
      <w:r>
        <w:t>significant</w:t>
      </w:r>
      <w:r w:rsidRPr="00DD779C">
        <w:t xml:space="preserve"> difference between </w:t>
      </w:r>
      <w:r>
        <w:t xml:space="preserve">males and females in their </w:t>
      </w:r>
      <w:r w:rsidRPr="00DD779C">
        <w:t>opinion</w:t>
      </w:r>
      <w:r>
        <w:t xml:space="preserve">s; as </w:t>
      </w:r>
      <w:r w:rsidRPr="00DD779C">
        <w:t xml:space="preserve">80.8% of male judges stating that female judges are sufficient, compared with 56.5% </w:t>
      </w:r>
      <w:r>
        <w:t xml:space="preserve">for the </w:t>
      </w:r>
      <w:r w:rsidRPr="00DD779C">
        <w:t xml:space="preserve">female judges. As for the number of women in leadership positions in the judiciary, 38.3% of </w:t>
      </w:r>
      <w:r>
        <w:t>female</w:t>
      </w:r>
      <w:r w:rsidRPr="00DD779C">
        <w:t xml:space="preserve"> judges believe that this number is sufficient, compared with 76.2% </w:t>
      </w:r>
      <w:r>
        <w:t xml:space="preserve">for the </w:t>
      </w:r>
      <w:r w:rsidR="00BE7A25">
        <w:t>male judges</w:t>
      </w:r>
      <w:r w:rsidRPr="009709AA">
        <w:t>. (see table 2</w:t>
      </w:r>
      <w:r>
        <w:t>0</w:t>
      </w:r>
      <w:r w:rsidRPr="009709AA">
        <w:t>)</w:t>
      </w:r>
      <w:r w:rsidRPr="00BE7A25">
        <w:t>.</w:t>
      </w:r>
    </w:p>
    <w:p w:rsidR="001E3223" w:rsidRPr="00BE7A25" w:rsidRDefault="001E3223" w:rsidP="001E3223">
      <w:pPr>
        <w:bidi w:val="0"/>
        <w:rPr>
          <w:sz w:val="16"/>
          <w:szCs w:val="16"/>
        </w:rPr>
      </w:pPr>
    </w:p>
    <w:p w:rsidR="001E3223" w:rsidRPr="00DD779C" w:rsidRDefault="001E3223" w:rsidP="00BE7A25">
      <w:pPr>
        <w:bidi w:val="0"/>
        <w:rPr>
          <w:rtl/>
        </w:rPr>
      </w:pPr>
      <w:r w:rsidRPr="00DD779C">
        <w:t>The results showed that</w:t>
      </w:r>
      <w:r>
        <w:t xml:space="preserve"> about half of </w:t>
      </w:r>
      <w:r w:rsidRPr="00DD779C">
        <w:t xml:space="preserve"> the</w:t>
      </w:r>
      <w:r>
        <w:t xml:space="preserve"> </w:t>
      </w:r>
      <w:proofErr w:type="spellStart"/>
      <w:r>
        <w:t>shari'a</w:t>
      </w:r>
      <w:proofErr w:type="spellEnd"/>
      <w:r>
        <w:t xml:space="preserve"> </w:t>
      </w:r>
      <w:r w:rsidRPr="00DD779C">
        <w:t xml:space="preserve"> judges believe that </w:t>
      </w:r>
      <w:r>
        <w:t xml:space="preserve">both </w:t>
      </w:r>
      <w:r w:rsidRPr="00DD779C">
        <w:t>female judges</w:t>
      </w:r>
      <w:r>
        <w:t xml:space="preserve"> and</w:t>
      </w:r>
      <w:r w:rsidRPr="00DD779C">
        <w:t xml:space="preserve"> number of females in high positions</w:t>
      </w:r>
      <w:r>
        <w:t xml:space="preserve"> </w:t>
      </w:r>
      <w:r w:rsidRPr="00DD779C">
        <w:t xml:space="preserve">in the </w:t>
      </w:r>
      <w:proofErr w:type="spellStart"/>
      <w:r w:rsidRPr="00DD779C">
        <w:t>Shari'a</w:t>
      </w:r>
      <w:proofErr w:type="spellEnd"/>
      <w:r w:rsidRPr="00DD779C">
        <w:t xml:space="preserve"> courts </w:t>
      </w:r>
      <w:r>
        <w:t>are sufficient</w:t>
      </w:r>
      <w:r w:rsidRPr="00DD779C">
        <w:t>.</w:t>
      </w:r>
      <w:r w:rsidRPr="009709AA">
        <w:t xml:space="preserve"> (see table 2</w:t>
      </w:r>
      <w:r>
        <w:t>3</w:t>
      </w:r>
      <w:r w:rsidRPr="009709AA">
        <w:t>)</w:t>
      </w:r>
      <w:r w:rsidRPr="00BE7A25">
        <w:t>.</w:t>
      </w:r>
      <w:r w:rsidR="00BE7A25">
        <w:t xml:space="preserve">  </w:t>
      </w:r>
      <w:r w:rsidRPr="00DD779C">
        <w:t xml:space="preserve">In the case of prosecutors, 68.8% </w:t>
      </w:r>
      <w:r>
        <w:t xml:space="preserve">of </w:t>
      </w:r>
      <w:r w:rsidRPr="00DD779C">
        <w:t xml:space="preserve">prosecutors believe that the number of women prosecutors is sufficient, and 73.5% of </w:t>
      </w:r>
      <w:r>
        <w:t xml:space="preserve">them </w:t>
      </w:r>
      <w:r w:rsidRPr="00DD779C">
        <w:t>believe that the number of females in high positions in</w:t>
      </w:r>
      <w:r>
        <w:t xml:space="preserve"> the prosecution is sufficient.</w:t>
      </w:r>
      <w:r w:rsidRPr="009709AA">
        <w:t xml:space="preserve"> (see table 2</w:t>
      </w:r>
      <w:r>
        <w:t>4</w:t>
      </w:r>
      <w:r w:rsidRPr="009709AA">
        <w:t>)</w:t>
      </w:r>
      <w:r w:rsidRPr="00BE7A25">
        <w:t>.</w:t>
      </w:r>
    </w:p>
    <w:p w:rsidR="001E3223" w:rsidRPr="00BE7A25" w:rsidRDefault="001E3223" w:rsidP="001E3223">
      <w:pPr>
        <w:bidi w:val="0"/>
        <w:rPr>
          <w:sz w:val="16"/>
          <w:szCs w:val="16"/>
        </w:rPr>
      </w:pPr>
      <w:r w:rsidRPr="00BE7A25">
        <w:rPr>
          <w:sz w:val="16"/>
          <w:szCs w:val="16"/>
        </w:rPr>
        <w:t xml:space="preserve"> </w:t>
      </w:r>
    </w:p>
    <w:p w:rsidR="004B49EA" w:rsidRDefault="004B49EA" w:rsidP="007C1446">
      <w:pPr>
        <w:autoSpaceDE w:val="0"/>
        <w:autoSpaceDN w:val="0"/>
        <w:bidi w:val="0"/>
        <w:adjustRightInd w:val="0"/>
        <w:jc w:val="center"/>
        <w:rPr>
          <w:rFonts w:ascii="Arial" w:hAnsi="Arial" w:cs="Arial"/>
          <w:b/>
          <w:bCs/>
          <w:sz w:val="22"/>
          <w:szCs w:val="22"/>
          <w:lang w:eastAsia="en-US"/>
        </w:rPr>
      </w:pPr>
      <w:r w:rsidRPr="00BB3CE0">
        <w:rPr>
          <w:rFonts w:ascii="Arial" w:hAnsi="Arial" w:cs="Arial"/>
          <w:b/>
          <w:bCs/>
          <w:sz w:val="22"/>
          <w:szCs w:val="22"/>
          <w:lang w:eastAsia="en-US"/>
        </w:rPr>
        <w:t xml:space="preserve">Percentage of Judges </w:t>
      </w:r>
      <w:r w:rsidR="00BE7A25">
        <w:rPr>
          <w:rFonts w:ascii="Arial" w:hAnsi="Arial" w:cs="Arial"/>
          <w:b/>
          <w:bCs/>
          <w:sz w:val="22"/>
          <w:szCs w:val="22"/>
          <w:lang w:eastAsia="en-US"/>
        </w:rPr>
        <w:t xml:space="preserve">in the West Bank </w:t>
      </w:r>
      <w:r w:rsidRPr="00BB3CE0">
        <w:rPr>
          <w:rFonts w:ascii="Arial" w:hAnsi="Arial" w:cs="Arial"/>
          <w:b/>
          <w:bCs/>
          <w:sz w:val="22"/>
          <w:szCs w:val="22"/>
          <w:lang w:eastAsia="en-US"/>
        </w:rPr>
        <w:t xml:space="preserve">by their Opinion </w:t>
      </w:r>
      <w:r w:rsidR="00AB6CF2">
        <w:rPr>
          <w:rFonts w:ascii="Arial" w:hAnsi="Arial" w:cs="Arial"/>
          <w:b/>
          <w:bCs/>
          <w:sz w:val="22"/>
          <w:szCs w:val="22"/>
          <w:lang w:eastAsia="en-US"/>
        </w:rPr>
        <w:t>if</w:t>
      </w:r>
      <w:r w:rsidRPr="00BB3CE0">
        <w:rPr>
          <w:rFonts w:ascii="Arial" w:hAnsi="Arial" w:cs="Arial"/>
          <w:b/>
          <w:bCs/>
          <w:sz w:val="22"/>
          <w:szCs w:val="22"/>
          <w:lang w:eastAsia="en-US"/>
        </w:rPr>
        <w:t xml:space="preserve"> </w:t>
      </w:r>
      <w:r w:rsidR="00BE7A25" w:rsidRPr="005067C9">
        <w:rPr>
          <w:rFonts w:ascii="Arial" w:hAnsi="Arial" w:cs="Arial"/>
          <w:b/>
          <w:bCs/>
          <w:sz w:val="22"/>
          <w:szCs w:val="22"/>
          <w:lang w:eastAsia="en-US"/>
        </w:rPr>
        <w:t>Number</w:t>
      </w:r>
      <w:r w:rsidR="005067C9" w:rsidRPr="005067C9">
        <w:rPr>
          <w:rFonts w:ascii="Arial" w:hAnsi="Arial" w:cs="Arial"/>
          <w:b/>
          <w:bCs/>
          <w:sz w:val="22"/>
          <w:szCs w:val="22"/>
          <w:lang w:eastAsia="en-US"/>
        </w:rPr>
        <w:t xml:space="preserve"> of </w:t>
      </w:r>
      <w:r w:rsidR="00BE7A25" w:rsidRPr="005067C9">
        <w:rPr>
          <w:rFonts w:ascii="Arial" w:hAnsi="Arial" w:cs="Arial"/>
          <w:b/>
          <w:bCs/>
          <w:sz w:val="22"/>
          <w:szCs w:val="22"/>
          <w:lang w:eastAsia="en-US"/>
        </w:rPr>
        <w:t>Females</w:t>
      </w:r>
      <w:r w:rsidR="00BE7A25" w:rsidRPr="00BB3CE0">
        <w:rPr>
          <w:rFonts w:ascii="Arial" w:hAnsi="Arial" w:cs="Arial"/>
          <w:b/>
          <w:bCs/>
          <w:sz w:val="22"/>
          <w:szCs w:val="22"/>
          <w:lang w:eastAsia="en-US"/>
        </w:rPr>
        <w:t xml:space="preserve"> </w:t>
      </w:r>
      <w:r w:rsidRPr="00BB3CE0">
        <w:rPr>
          <w:rFonts w:ascii="Arial" w:hAnsi="Arial" w:cs="Arial"/>
          <w:b/>
          <w:bCs/>
          <w:sz w:val="22"/>
          <w:szCs w:val="22"/>
          <w:lang w:eastAsia="en-US"/>
        </w:rPr>
        <w:t xml:space="preserve">in the </w:t>
      </w:r>
      <w:r w:rsidR="00AB6CF2">
        <w:rPr>
          <w:rFonts w:ascii="Arial" w:hAnsi="Arial" w:cs="Arial"/>
          <w:b/>
          <w:bCs/>
          <w:sz w:val="22"/>
          <w:szCs w:val="22"/>
          <w:lang w:eastAsia="en-US"/>
        </w:rPr>
        <w:t xml:space="preserve">Judiciary is </w:t>
      </w:r>
      <w:r w:rsidR="007C1446">
        <w:rPr>
          <w:rFonts w:ascii="Arial" w:hAnsi="Arial" w:cs="Arial"/>
          <w:b/>
          <w:bCs/>
          <w:sz w:val="22"/>
          <w:szCs w:val="22"/>
          <w:lang w:eastAsia="en-US"/>
        </w:rPr>
        <w:t>S</w:t>
      </w:r>
      <w:r w:rsidR="00AB6CF2" w:rsidRPr="00AB6CF2">
        <w:rPr>
          <w:rFonts w:ascii="Arial" w:hAnsi="Arial" w:cs="Arial"/>
          <w:b/>
          <w:bCs/>
          <w:sz w:val="22"/>
          <w:szCs w:val="22"/>
          <w:lang w:eastAsia="en-US"/>
        </w:rPr>
        <w:t>ufficient</w:t>
      </w:r>
      <w:r w:rsidRPr="00BB3CE0">
        <w:rPr>
          <w:rFonts w:ascii="Arial" w:hAnsi="Arial" w:cs="Arial"/>
          <w:b/>
          <w:bCs/>
          <w:sz w:val="22"/>
          <w:szCs w:val="22"/>
          <w:lang w:eastAsia="en-US"/>
        </w:rPr>
        <w:t>, September-October 2018</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75"/>
      </w:tblGrid>
      <w:tr w:rsidR="00000439" w:rsidRPr="00A73F21" w:rsidTr="000173F9">
        <w:trPr>
          <w:trHeight w:val="3160"/>
          <w:jc w:val="center"/>
        </w:trPr>
        <w:tc>
          <w:tcPr>
            <w:tcW w:w="8775" w:type="dxa"/>
          </w:tcPr>
          <w:p w:rsidR="00000439" w:rsidRDefault="00000439" w:rsidP="00AF40B0">
            <w:pPr>
              <w:autoSpaceDE w:val="0"/>
              <w:autoSpaceDN w:val="0"/>
              <w:bidi w:val="0"/>
              <w:adjustRightInd w:val="0"/>
              <w:jc w:val="center"/>
              <w:rPr>
                <w:b/>
                <w:bCs/>
                <w:noProof/>
                <w:sz w:val="10"/>
                <w:szCs w:val="10"/>
                <w:lang w:val="en-GB" w:eastAsia="en-GB"/>
              </w:rPr>
            </w:pPr>
          </w:p>
          <w:p w:rsidR="005067C9" w:rsidRPr="00A73F21" w:rsidRDefault="005067C9" w:rsidP="005067C9">
            <w:pPr>
              <w:autoSpaceDE w:val="0"/>
              <w:autoSpaceDN w:val="0"/>
              <w:bidi w:val="0"/>
              <w:adjustRightInd w:val="0"/>
              <w:jc w:val="center"/>
              <w:rPr>
                <w:b/>
                <w:bCs/>
                <w:noProof/>
                <w:sz w:val="10"/>
                <w:szCs w:val="10"/>
                <w:lang w:val="en-GB" w:eastAsia="en-GB"/>
              </w:rPr>
            </w:pPr>
          </w:p>
          <w:p w:rsidR="0022138B" w:rsidRPr="00A73F21" w:rsidRDefault="00BB7870" w:rsidP="00AF40B0">
            <w:pPr>
              <w:autoSpaceDE w:val="0"/>
              <w:autoSpaceDN w:val="0"/>
              <w:bidi w:val="0"/>
              <w:adjustRightInd w:val="0"/>
              <w:jc w:val="center"/>
              <w:rPr>
                <w:b/>
                <w:bCs/>
                <w:sz w:val="22"/>
                <w:szCs w:val="22"/>
                <w:rtl/>
              </w:rPr>
            </w:pPr>
            <w:r w:rsidRPr="00A73F21">
              <w:rPr>
                <w:rFonts w:hint="cs"/>
                <w:b/>
                <w:bCs/>
                <w:noProof/>
                <w:sz w:val="22"/>
                <w:szCs w:val="22"/>
                <w:rtl/>
                <w:lang w:eastAsia="en-US"/>
              </w:rPr>
              <w:drawing>
                <wp:inline distT="0" distB="0" distL="0" distR="0">
                  <wp:extent cx="5165125" cy="1795849"/>
                  <wp:effectExtent l="0" t="0" r="0" b="0"/>
                  <wp:docPr id="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630743" w:rsidRPr="00A73F21" w:rsidRDefault="00630743" w:rsidP="00AF40B0">
      <w:pPr>
        <w:bidi w:val="0"/>
        <w:rPr>
          <w:sz w:val="18"/>
          <w:szCs w:val="18"/>
        </w:rPr>
      </w:pPr>
    </w:p>
    <w:p w:rsidR="000B6804" w:rsidRPr="009709AA" w:rsidRDefault="000B6804" w:rsidP="009709AA">
      <w:pPr>
        <w:bidi w:val="0"/>
        <w:ind w:left="70"/>
        <w:jc w:val="lowKashida"/>
      </w:pPr>
      <w:r w:rsidRPr="009709AA">
        <w:t xml:space="preserve">The results also indicated that 41.0% of the judges believe that the courts are adapted to meet the needs of the </w:t>
      </w:r>
      <w:r w:rsidR="00DA7DF6">
        <w:t>persons</w:t>
      </w:r>
      <w:r w:rsidRPr="009709AA">
        <w:t xml:space="preserve"> with disabilities; however, the infrastructure of the Palestinian courts was considered acceptable by 31.0% of the judges (32.5% for males and 26.1% for females), while 27.9% of the judges considered that the number of court clerks is sufficient (30.0% for males and 21.3% for females)</w:t>
      </w:r>
      <w:r w:rsidR="006337C5" w:rsidRPr="009709AA">
        <w:rPr>
          <w:lang w:eastAsia="en-US"/>
        </w:rPr>
        <w:t>.</w:t>
      </w:r>
      <w:r w:rsidR="00C72978" w:rsidRPr="009709AA">
        <w:rPr>
          <w:lang w:eastAsia="en-US"/>
        </w:rPr>
        <w:t xml:space="preserve"> </w:t>
      </w:r>
      <w:r w:rsidR="00883F65">
        <w:rPr>
          <w:lang w:eastAsia="en-US"/>
        </w:rPr>
        <w:t>(</w:t>
      </w:r>
      <w:r w:rsidR="006337C5" w:rsidRPr="009709AA">
        <w:rPr>
          <w:lang w:eastAsia="en-US"/>
        </w:rPr>
        <w:t xml:space="preserve">see table </w:t>
      </w:r>
      <w:r w:rsidR="00856AC5" w:rsidRPr="009709AA">
        <w:rPr>
          <w:lang w:eastAsia="en-US"/>
        </w:rPr>
        <w:t>21</w:t>
      </w:r>
      <w:r w:rsidR="006337C5" w:rsidRPr="009709AA">
        <w:rPr>
          <w:lang w:eastAsia="en-US"/>
        </w:rPr>
        <w:t>)</w:t>
      </w:r>
      <w:r w:rsidR="005B4307" w:rsidRPr="009709AA">
        <w:t>.</w:t>
      </w:r>
    </w:p>
    <w:p w:rsidR="00445190" w:rsidRDefault="00445190" w:rsidP="00FD7D95">
      <w:pPr>
        <w:bidi w:val="0"/>
        <w:ind w:left="70"/>
        <w:jc w:val="center"/>
        <w:rPr>
          <w:rFonts w:ascii="Arial" w:hAnsi="Arial" w:cs="Arial"/>
          <w:b/>
          <w:bCs/>
          <w:sz w:val="22"/>
          <w:szCs w:val="22"/>
        </w:rPr>
      </w:pPr>
    </w:p>
    <w:p w:rsidR="007454C8" w:rsidRPr="00BB3CE0" w:rsidRDefault="007454C8" w:rsidP="00445190">
      <w:pPr>
        <w:bidi w:val="0"/>
        <w:ind w:left="70"/>
        <w:jc w:val="center"/>
        <w:rPr>
          <w:rFonts w:ascii="Arial" w:hAnsi="Arial" w:cs="Arial"/>
          <w:b/>
          <w:bCs/>
          <w:sz w:val="22"/>
          <w:szCs w:val="22"/>
          <w:rtl/>
        </w:rPr>
      </w:pPr>
      <w:r w:rsidRPr="00BB3CE0">
        <w:rPr>
          <w:rFonts w:ascii="Arial" w:hAnsi="Arial" w:cs="Arial"/>
          <w:b/>
          <w:bCs/>
          <w:sz w:val="22"/>
          <w:szCs w:val="22"/>
        </w:rPr>
        <w:t>Percentage</w:t>
      </w:r>
      <w:r w:rsidR="000B6804" w:rsidRPr="00BB3CE0">
        <w:rPr>
          <w:rFonts w:ascii="Arial" w:hAnsi="Arial" w:cs="Arial"/>
          <w:b/>
          <w:bCs/>
          <w:sz w:val="22"/>
          <w:szCs w:val="22"/>
        </w:rPr>
        <w:t xml:space="preserve"> of Judges by their Opinion on t</w:t>
      </w:r>
      <w:r w:rsidRPr="00BB3CE0">
        <w:rPr>
          <w:rFonts w:ascii="Arial" w:hAnsi="Arial" w:cs="Arial"/>
          <w:b/>
          <w:bCs/>
          <w:sz w:val="22"/>
          <w:szCs w:val="22"/>
        </w:rPr>
        <w:t>he General Status of the Courts in Palestine, September-October 2018</w:t>
      </w:r>
    </w:p>
    <w:tbl>
      <w:tblPr>
        <w:bidiVisual/>
        <w:tblW w:w="0" w:type="auto"/>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85"/>
      </w:tblGrid>
      <w:tr w:rsidR="004202F6" w:rsidRPr="00A73F21" w:rsidTr="00445190">
        <w:trPr>
          <w:trHeight w:val="3542"/>
          <w:jc w:val="center"/>
        </w:trPr>
        <w:tc>
          <w:tcPr>
            <w:tcW w:w="8985" w:type="dxa"/>
          </w:tcPr>
          <w:p w:rsidR="004202F6" w:rsidRPr="00A73F21" w:rsidRDefault="004202F6" w:rsidP="00AF40B0">
            <w:pPr>
              <w:autoSpaceDE w:val="0"/>
              <w:autoSpaceDN w:val="0"/>
              <w:bidi w:val="0"/>
              <w:adjustRightInd w:val="0"/>
              <w:jc w:val="center"/>
              <w:rPr>
                <w:b/>
                <w:bCs/>
                <w:noProof/>
                <w:sz w:val="8"/>
                <w:szCs w:val="8"/>
                <w:rtl/>
                <w:lang w:val="en-GB" w:eastAsia="en-GB"/>
              </w:rPr>
            </w:pPr>
          </w:p>
          <w:p w:rsidR="0022138B" w:rsidRPr="00A73F21" w:rsidRDefault="002C12F5" w:rsidP="00AF40B0">
            <w:pPr>
              <w:autoSpaceDE w:val="0"/>
              <w:autoSpaceDN w:val="0"/>
              <w:bidi w:val="0"/>
              <w:adjustRightInd w:val="0"/>
              <w:jc w:val="center"/>
              <w:rPr>
                <w:b/>
                <w:bCs/>
                <w:sz w:val="22"/>
                <w:szCs w:val="22"/>
                <w:rtl/>
              </w:rPr>
            </w:pPr>
            <w:r w:rsidRPr="00A73F21">
              <w:rPr>
                <w:rFonts w:hint="cs"/>
                <w:b/>
                <w:bCs/>
                <w:noProof/>
                <w:sz w:val="22"/>
                <w:szCs w:val="22"/>
                <w:rtl/>
                <w:lang w:eastAsia="en-US"/>
              </w:rPr>
              <w:drawing>
                <wp:inline distT="0" distB="0" distL="0" distR="0">
                  <wp:extent cx="5486400" cy="2191265"/>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D9485F" w:rsidRDefault="00D9485F" w:rsidP="000173F9">
      <w:pPr>
        <w:bidi w:val="0"/>
        <w:ind w:left="70"/>
        <w:jc w:val="lowKashida"/>
        <w:rPr>
          <w:b/>
          <w:bCs/>
          <w:lang w:eastAsia="en-US"/>
        </w:rPr>
      </w:pPr>
      <w:r w:rsidRPr="00D9485F">
        <w:rPr>
          <w:b/>
          <w:bCs/>
          <w:lang w:eastAsia="en-US"/>
        </w:rPr>
        <w:lastRenderedPageBreak/>
        <w:t>2.3 Practicing Lawyers and Trainees</w:t>
      </w:r>
    </w:p>
    <w:p w:rsidR="001F2041" w:rsidRPr="001F2041" w:rsidRDefault="001F2041" w:rsidP="001F2041">
      <w:pPr>
        <w:bidi w:val="0"/>
        <w:ind w:left="70"/>
        <w:jc w:val="lowKashida"/>
        <w:rPr>
          <w:b/>
          <w:bCs/>
          <w:sz w:val="20"/>
          <w:szCs w:val="20"/>
          <w:lang w:eastAsia="en-US"/>
        </w:rPr>
      </w:pPr>
    </w:p>
    <w:tbl>
      <w:tblPr>
        <w:tblStyle w:val="TableGrid"/>
        <w:tblW w:w="9072" w:type="dxa"/>
        <w:jc w:val="center"/>
        <w:tblLook w:val="04A0"/>
      </w:tblPr>
      <w:tblGrid>
        <w:gridCol w:w="9072"/>
      </w:tblGrid>
      <w:tr w:rsidR="000450AE" w:rsidRPr="00A13D4D" w:rsidTr="00AC1EE7">
        <w:trPr>
          <w:jc w:val="center"/>
        </w:trPr>
        <w:tc>
          <w:tcPr>
            <w:tcW w:w="9072" w:type="dxa"/>
            <w:vAlign w:val="center"/>
          </w:tcPr>
          <w:p w:rsidR="000450AE" w:rsidRPr="00A13D4D" w:rsidRDefault="000450AE" w:rsidP="000450AE">
            <w:pPr>
              <w:bidi w:val="0"/>
              <w:jc w:val="center"/>
              <w:rPr>
                <w:lang w:eastAsia="en-US"/>
              </w:rPr>
            </w:pPr>
            <w:r w:rsidRPr="00A13D4D">
              <w:rPr>
                <w:b/>
                <w:bCs/>
                <w:lang w:eastAsia="en-US"/>
              </w:rPr>
              <w:t>Reducing the number of students in law faculties is the solution for the problem of the large number of lawyers</w:t>
            </w:r>
          </w:p>
        </w:tc>
      </w:tr>
    </w:tbl>
    <w:p w:rsidR="000450AE" w:rsidRPr="00A13D4D" w:rsidRDefault="000450AE" w:rsidP="00856AC5">
      <w:pPr>
        <w:bidi w:val="0"/>
        <w:jc w:val="lowKashida"/>
        <w:rPr>
          <w:sz w:val="18"/>
          <w:szCs w:val="18"/>
          <w:lang w:eastAsia="en-US"/>
        </w:rPr>
      </w:pPr>
    </w:p>
    <w:p w:rsidR="00CD7E9D" w:rsidRPr="00A13D4D" w:rsidRDefault="00CD7E9D" w:rsidP="000450AE">
      <w:pPr>
        <w:bidi w:val="0"/>
        <w:jc w:val="lowKashida"/>
        <w:rPr>
          <w:lang w:eastAsia="en-US"/>
        </w:rPr>
      </w:pPr>
      <w:r w:rsidRPr="00A13D4D">
        <w:rPr>
          <w:lang w:eastAsia="en-US"/>
        </w:rPr>
        <w:t>The data indicated that 92.3% of practicing lawyers believe that reducing the number of students admitted to the law faculties is the solution for problem of the large number of lawyers (92.5% for males and 90.9% for females).</w:t>
      </w:r>
      <w:r w:rsidRPr="00A13D4D">
        <w:t xml:space="preserve"> W</w:t>
      </w:r>
      <w:r w:rsidRPr="00A13D4D">
        <w:rPr>
          <w:lang w:eastAsia="en-US"/>
        </w:rPr>
        <w:t>hile about two-thirds of practicing lawyers believe that the entrance exam for trainee lawyers has to be developed</w:t>
      </w:r>
      <w:r w:rsidR="006337C5" w:rsidRPr="00A13D4D">
        <w:rPr>
          <w:lang w:eastAsia="en-US"/>
        </w:rPr>
        <w:t>.</w:t>
      </w:r>
      <w:r w:rsidR="00C72978" w:rsidRPr="00A13D4D">
        <w:rPr>
          <w:lang w:eastAsia="en-US"/>
        </w:rPr>
        <w:t xml:space="preserve"> </w:t>
      </w:r>
      <w:r w:rsidR="00883F65">
        <w:rPr>
          <w:lang w:eastAsia="en-US"/>
        </w:rPr>
        <w:t>(</w:t>
      </w:r>
      <w:r w:rsidR="006337C5" w:rsidRPr="00A13D4D">
        <w:rPr>
          <w:lang w:eastAsia="en-US"/>
        </w:rPr>
        <w:t xml:space="preserve">see table </w:t>
      </w:r>
      <w:r w:rsidR="00856AC5" w:rsidRPr="00A13D4D">
        <w:rPr>
          <w:lang w:eastAsia="en-US"/>
        </w:rPr>
        <w:t>25</w:t>
      </w:r>
      <w:r w:rsidR="006337C5" w:rsidRPr="00A13D4D">
        <w:rPr>
          <w:lang w:eastAsia="en-US"/>
        </w:rPr>
        <w:t>)</w:t>
      </w:r>
      <w:r w:rsidR="005B4307" w:rsidRPr="00A13D4D">
        <w:rPr>
          <w:lang w:eastAsia="en-US"/>
        </w:rPr>
        <w:t>.</w:t>
      </w:r>
    </w:p>
    <w:p w:rsidR="00CD7E9D" w:rsidRPr="00120BA0" w:rsidRDefault="00CD7E9D" w:rsidP="00AF40B0">
      <w:pPr>
        <w:autoSpaceDE w:val="0"/>
        <w:autoSpaceDN w:val="0"/>
        <w:bidi w:val="0"/>
        <w:adjustRightInd w:val="0"/>
        <w:rPr>
          <w:rFonts w:asciiTheme="majorBidi" w:hAnsiTheme="majorBidi" w:cstheme="majorBidi"/>
          <w:b/>
          <w:bCs/>
          <w:sz w:val="22"/>
          <w:szCs w:val="22"/>
        </w:rPr>
      </w:pPr>
    </w:p>
    <w:p w:rsidR="00CD7E9D" w:rsidRPr="00147895" w:rsidRDefault="00CD7E9D" w:rsidP="006B6537">
      <w:pPr>
        <w:bidi w:val="0"/>
        <w:ind w:left="70"/>
        <w:jc w:val="center"/>
        <w:rPr>
          <w:rFonts w:ascii="Arial" w:hAnsi="Arial" w:cs="Arial"/>
          <w:b/>
          <w:bCs/>
          <w:sz w:val="22"/>
          <w:szCs w:val="22"/>
          <w:lang w:eastAsia="en-US"/>
        </w:rPr>
      </w:pPr>
      <w:r w:rsidRPr="00147895">
        <w:rPr>
          <w:rFonts w:ascii="Arial" w:hAnsi="Arial" w:cs="Arial"/>
          <w:b/>
          <w:bCs/>
          <w:sz w:val="22"/>
          <w:szCs w:val="22"/>
          <w:lang w:eastAsia="en-US"/>
        </w:rPr>
        <w:t>Percentage Distribution of Practicing Lawyers</w:t>
      </w:r>
      <w:r w:rsidR="00C72978" w:rsidRPr="00147895">
        <w:rPr>
          <w:rFonts w:ascii="Arial" w:hAnsi="Arial" w:cs="Arial"/>
          <w:b/>
          <w:bCs/>
          <w:sz w:val="22"/>
          <w:szCs w:val="22"/>
          <w:lang w:eastAsia="en-US"/>
        </w:rPr>
        <w:t xml:space="preserve"> in Palestine</w:t>
      </w:r>
      <w:r w:rsidRPr="00147895">
        <w:rPr>
          <w:rFonts w:ascii="Arial" w:hAnsi="Arial" w:cs="Arial"/>
          <w:b/>
          <w:bCs/>
          <w:sz w:val="22"/>
          <w:szCs w:val="22"/>
          <w:lang w:eastAsia="en-US"/>
        </w:rPr>
        <w:t xml:space="preserve"> by their Opinion on the </w:t>
      </w:r>
      <w:r w:rsidR="0051549F">
        <w:rPr>
          <w:rFonts w:ascii="Arial" w:hAnsi="Arial" w:cs="Arial"/>
          <w:b/>
          <w:bCs/>
          <w:sz w:val="22"/>
          <w:szCs w:val="22"/>
          <w:lang w:eastAsia="en-US"/>
        </w:rPr>
        <w:t xml:space="preserve"> Solution of </w:t>
      </w:r>
      <w:r w:rsidRPr="00147895">
        <w:rPr>
          <w:rFonts w:ascii="Arial" w:hAnsi="Arial" w:cs="Arial"/>
          <w:b/>
          <w:bCs/>
          <w:sz w:val="22"/>
          <w:szCs w:val="22"/>
          <w:lang w:eastAsia="en-US"/>
        </w:rPr>
        <w:t>Problem of the Large Number of Lawyers in Palestine and Sex, September-</w:t>
      </w:r>
      <w:r w:rsidR="00913023" w:rsidRPr="00147895">
        <w:rPr>
          <w:rFonts w:ascii="Arial" w:hAnsi="Arial" w:cs="Arial"/>
          <w:b/>
          <w:bCs/>
          <w:sz w:val="22"/>
          <w:szCs w:val="22"/>
          <w:lang w:eastAsia="en-US"/>
        </w:rPr>
        <w:t xml:space="preserve"> </w:t>
      </w:r>
      <w:r w:rsidRPr="00147895">
        <w:rPr>
          <w:rFonts w:ascii="Arial" w:hAnsi="Arial" w:cs="Arial"/>
          <w:b/>
          <w:bCs/>
          <w:sz w:val="22"/>
          <w:szCs w:val="22"/>
          <w:lang w:eastAsia="en-US"/>
        </w:rPr>
        <w:t>October 2018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1"/>
      </w:tblGrid>
      <w:tr w:rsidR="004202F6" w:rsidRPr="00A73F21" w:rsidTr="00120BA0">
        <w:trPr>
          <w:trHeight w:val="3394"/>
          <w:jc w:val="center"/>
        </w:trPr>
        <w:tc>
          <w:tcPr>
            <w:tcW w:w="9020" w:type="dxa"/>
          </w:tcPr>
          <w:p w:rsidR="00B2173A" w:rsidRPr="00A73F21" w:rsidRDefault="00DB5D33" w:rsidP="00AF40B0">
            <w:pPr>
              <w:autoSpaceDE w:val="0"/>
              <w:autoSpaceDN w:val="0"/>
              <w:bidi w:val="0"/>
              <w:adjustRightInd w:val="0"/>
              <w:jc w:val="center"/>
              <w:rPr>
                <w:b/>
                <w:bCs/>
                <w:sz w:val="22"/>
                <w:szCs w:val="22"/>
              </w:rPr>
            </w:pPr>
            <w:r w:rsidRPr="00A73F21">
              <w:rPr>
                <w:rFonts w:hint="cs"/>
                <w:b/>
                <w:bCs/>
                <w:noProof/>
                <w:sz w:val="22"/>
                <w:szCs w:val="22"/>
                <w:lang w:eastAsia="en-US"/>
              </w:rPr>
              <w:drawing>
                <wp:inline distT="0" distB="0" distL="0" distR="0">
                  <wp:extent cx="5609967" cy="2545492"/>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CD7E9D" w:rsidRDefault="00CD7E9D" w:rsidP="00AF40B0">
      <w:pPr>
        <w:autoSpaceDE w:val="0"/>
        <w:autoSpaceDN w:val="0"/>
        <w:bidi w:val="0"/>
        <w:adjustRightInd w:val="0"/>
        <w:rPr>
          <w:b/>
          <w:bCs/>
          <w:sz w:val="18"/>
          <w:szCs w:val="18"/>
        </w:rPr>
      </w:pPr>
    </w:p>
    <w:tbl>
      <w:tblPr>
        <w:tblStyle w:val="TableGrid"/>
        <w:tblW w:w="9072" w:type="dxa"/>
        <w:jc w:val="center"/>
        <w:tblLook w:val="04A0"/>
      </w:tblPr>
      <w:tblGrid>
        <w:gridCol w:w="9072"/>
      </w:tblGrid>
      <w:tr w:rsidR="000450AE" w:rsidRPr="00A13D4D" w:rsidTr="00913023">
        <w:trPr>
          <w:jc w:val="center"/>
        </w:trPr>
        <w:tc>
          <w:tcPr>
            <w:tcW w:w="9072" w:type="dxa"/>
            <w:vAlign w:val="center"/>
          </w:tcPr>
          <w:p w:rsidR="000450AE" w:rsidRPr="00A13D4D" w:rsidRDefault="000450AE" w:rsidP="000450AE">
            <w:pPr>
              <w:autoSpaceDE w:val="0"/>
              <w:autoSpaceDN w:val="0"/>
              <w:bidi w:val="0"/>
              <w:adjustRightInd w:val="0"/>
              <w:jc w:val="center"/>
              <w:rPr>
                <w:lang w:eastAsia="en-US"/>
              </w:rPr>
            </w:pPr>
            <w:r w:rsidRPr="00A13D4D">
              <w:rPr>
                <w:b/>
                <w:bCs/>
                <w:lang w:eastAsia="en-US"/>
              </w:rPr>
              <w:t>Developing the code of ethics for bar profession, which is the main role of the Palestinian Bar Association</w:t>
            </w:r>
          </w:p>
        </w:tc>
      </w:tr>
    </w:tbl>
    <w:p w:rsidR="000450AE" w:rsidRPr="00A13D4D" w:rsidRDefault="000450AE" w:rsidP="009A3202">
      <w:pPr>
        <w:autoSpaceDE w:val="0"/>
        <w:autoSpaceDN w:val="0"/>
        <w:bidi w:val="0"/>
        <w:adjustRightInd w:val="0"/>
        <w:jc w:val="both"/>
        <w:rPr>
          <w:sz w:val="18"/>
          <w:szCs w:val="18"/>
          <w:lang w:eastAsia="en-US"/>
        </w:rPr>
      </w:pPr>
    </w:p>
    <w:p w:rsidR="00CD7E9D" w:rsidRPr="00A13D4D" w:rsidRDefault="00CD7E9D" w:rsidP="000450AE">
      <w:pPr>
        <w:autoSpaceDE w:val="0"/>
        <w:autoSpaceDN w:val="0"/>
        <w:bidi w:val="0"/>
        <w:adjustRightInd w:val="0"/>
        <w:jc w:val="both"/>
        <w:rPr>
          <w:lang w:eastAsia="en-US"/>
        </w:rPr>
      </w:pPr>
      <w:r w:rsidRPr="00A13D4D">
        <w:rPr>
          <w:lang w:eastAsia="en-US"/>
        </w:rPr>
        <w:t>The data indicated that 77.7% of practicing lawyers believe that the Palestinian Bar Association works on developing the code of ethics</w:t>
      </w:r>
      <w:r w:rsidRPr="00A13D4D">
        <w:t xml:space="preserve"> (</w:t>
      </w:r>
      <w:r w:rsidRPr="00A13D4D">
        <w:rPr>
          <w:lang w:eastAsia="en-US"/>
        </w:rPr>
        <w:t>76.7% for males and 82.0% for females).</w:t>
      </w:r>
      <w:r w:rsidRPr="00A13D4D">
        <w:t xml:space="preserve"> The</w:t>
      </w:r>
      <w:r w:rsidRPr="00A13D4D">
        <w:rPr>
          <w:lang w:eastAsia="en-US"/>
        </w:rPr>
        <w:t xml:space="preserve"> percentage of the Association's follow up on the filed complaints against the lawyers reached 76.0%, while 42.6% of the practicing lawyers believe that the general assembly of the Palestinian Bar Association is weak</w:t>
      </w:r>
      <w:r w:rsidR="006337C5" w:rsidRPr="00A13D4D">
        <w:rPr>
          <w:lang w:eastAsia="en-US"/>
        </w:rPr>
        <w:t>.</w:t>
      </w:r>
      <w:r w:rsidR="00C72978" w:rsidRPr="00A13D4D">
        <w:rPr>
          <w:lang w:eastAsia="en-US"/>
        </w:rPr>
        <w:t xml:space="preserve"> </w:t>
      </w:r>
      <w:r w:rsidR="00883F65">
        <w:rPr>
          <w:lang w:eastAsia="en-US"/>
        </w:rPr>
        <w:t>(</w:t>
      </w:r>
      <w:r w:rsidR="006337C5" w:rsidRPr="00A13D4D">
        <w:rPr>
          <w:lang w:eastAsia="en-US"/>
        </w:rPr>
        <w:t xml:space="preserve">see table </w:t>
      </w:r>
      <w:r w:rsidR="009A3202" w:rsidRPr="00A13D4D">
        <w:rPr>
          <w:lang w:eastAsia="en-US"/>
        </w:rPr>
        <w:t>26</w:t>
      </w:r>
      <w:r w:rsidR="006337C5" w:rsidRPr="00A13D4D">
        <w:rPr>
          <w:lang w:eastAsia="en-US"/>
        </w:rPr>
        <w:t>)</w:t>
      </w:r>
      <w:r w:rsidR="005B4307" w:rsidRPr="00A13D4D">
        <w:rPr>
          <w:lang w:eastAsia="en-US"/>
        </w:rPr>
        <w:t>.</w:t>
      </w:r>
    </w:p>
    <w:p w:rsidR="00445190" w:rsidRDefault="00445190">
      <w:pPr>
        <w:bidi w:val="0"/>
        <w:rPr>
          <w:rFonts w:asciiTheme="majorBidi" w:hAnsiTheme="majorBidi" w:cstheme="majorBidi" w:hint="cs"/>
          <w:rtl/>
          <w:lang w:eastAsia="en-US"/>
        </w:rPr>
      </w:pPr>
      <w:r>
        <w:rPr>
          <w:rFonts w:asciiTheme="majorBidi" w:hAnsiTheme="majorBidi" w:cstheme="majorBidi"/>
          <w:rtl/>
          <w:lang w:eastAsia="en-US"/>
        </w:rPr>
        <w:br w:type="page"/>
      </w:r>
    </w:p>
    <w:p w:rsidR="00610CC0" w:rsidRPr="00147895" w:rsidRDefault="00610CC0" w:rsidP="00AF40B0">
      <w:pPr>
        <w:bidi w:val="0"/>
        <w:ind w:left="70"/>
        <w:jc w:val="center"/>
        <w:rPr>
          <w:rFonts w:ascii="Arial" w:hAnsi="Arial" w:cs="Arial"/>
          <w:b/>
          <w:bCs/>
          <w:sz w:val="22"/>
          <w:szCs w:val="22"/>
          <w:rtl/>
          <w:lang w:eastAsia="en-US"/>
        </w:rPr>
      </w:pPr>
      <w:r w:rsidRPr="00147895">
        <w:rPr>
          <w:rFonts w:ascii="Arial" w:hAnsi="Arial" w:cs="Arial"/>
          <w:b/>
          <w:bCs/>
          <w:sz w:val="22"/>
          <w:szCs w:val="22"/>
          <w:lang w:eastAsia="en-US"/>
        </w:rPr>
        <w:lastRenderedPageBreak/>
        <w:t>Percentage Distribution of Practicing Lawyer</w:t>
      </w:r>
      <w:r w:rsidR="00CD7E9D" w:rsidRPr="00147895">
        <w:rPr>
          <w:rFonts w:ascii="Arial" w:hAnsi="Arial" w:cs="Arial"/>
          <w:b/>
          <w:bCs/>
          <w:sz w:val="22"/>
          <w:szCs w:val="22"/>
          <w:lang w:eastAsia="en-US"/>
        </w:rPr>
        <w:t>s</w:t>
      </w:r>
      <w:r w:rsidR="00C72978" w:rsidRPr="00147895">
        <w:rPr>
          <w:rFonts w:ascii="Arial" w:hAnsi="Arial" w:cs="Arial"/>
          <w:b/>
          <w:bCs/>
          <w:sz w:val="22"/>
          <w:szCs w:val="22"/>
          <w:lang w:eastAsia="en-US"/>
        </w:rPr>
        <w:t xml:space="preserve"> in Palestine</w:t>
      </w:r>
      <w:r w:rsidRPr="00147895">
        <w:rPr>
          <w:rFonts w:ascii="Arial" w:hAnsi="Arial" w:cs="Arial"/>
          <w:b/>
          <w:bCs/>
          <w:sz w:val="22"/>
          <w:szCs w:val="22"/>
          <w:lang w:eastAsia="en-US"/>
        </w:rPr>
        <w:t xml:space="preserve"> by their Opinion on the Role of the Palestinian Bar Association and Sex, September-October 2018</w:t>
      </w:r>
    </w:p>
    <w:tbl>
      <w:tblPr>
        <w:tblStyle w:val="TableGrid"/>
        <w:bidiVisual/>
        <w:tblW w:w="0" w:type="auto"/>
        <w:jc w:val="center"/>
        <w:tblInd w:w="215" w:type="dxa"/>
        <w:tblLook w:val="04A0"/>
      </w:tblPr>
      <w:tblGrid>
        <w:gridCol w:w="9074"/>
      </w:tblGrid>
      <w:tr w:rsidR="00DB5D33" w:rsidRPr="00A73F21" w:rsidTr="00120BA0">
        <w:trPr>
          <w:jc w:val="center"/>
        </w:trPr>
        <w:tc>
          <w:tcPr>
            <w:tcW w:w="9004" w:type="dxa"/>
          </w:tcPr>
          <w:p w:rsidR="00DB5D33" w:rsidRPr="00A73F21" w:rsidRDefault="00DB5D33" w:rsidP="00913023">
            <w:pPr>
              <w:bidi w:val="0"/>
              <w:jc w:val="center"/>
              <w:rPr>
                <w:rFonts w:cs="Simplified Arabic"/>
                <w:rtl/>
                <w:lang w:eastAsia="en-US"/>
              </w:rPr>
            </w:pPr>
            <w:r w:rsidRPr="00A73F21">
              <w:rPr>
                <w:rFonts w:cs="Simplified Arabic" w:hint="cs"/>
                <w:noProof/>
                <w:rtl/>
                <w:lang w:eastAsia="en-US"/>
              </w:rPr>
              <w:drawing>
                <wp:inline distT="0" distB="0" distL="0" distR="0">
                  <wp:extent cx="5675870" cy="2323070"/>
                  <wp:effectExtent l="0" t="0" r="0" b="0"/>
                  <wp:docPr id="3"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D9485F" w:rsidRDefault="00D9485F" w:rsidP="00D9485F">
      <w:pPr>
        <w:bidi w:val="0"/>
        <w:ind w:left="70"/>
        <w:jc w:val="lowKashida"/>
        <w:rPr>
          <w:rFonts w:asciiTheme="majorBidi" w:hAnsiTheme="majorBidi" w:cstheme="majorBidi"/>
          <w:lang w:eastAsia="en-US"/>
        </w:rPr>
      </w:pPr>
    </w:p>
    <w:p w:rsidR="00D9485F" w:rsidRPr="00D9485F" w:rsidRDefault="00D9485F" w:rsidP="00D9485F">
      <w:pPr>
        <w:bidi w:val="0"/>
        <w:ind w:left="70"/>
        <w:jc w:val="lowKashida"/>
        <w:rPr>
          <w:b/>
          <w:bCs/>
          <w:lang w:eastAsia="en-US"/>
        </w:rPr>
      </w:pPr>
      <w:r w:rsidRPr="00D9485F">
        <w:rPr>
          <w:b/>
          <w:bCs/>
          <w:lang w:eastAsia="en-US"/>
        </w:rPr>
        <w:t>2.4 Law Academicians and Law Students in Palestinian Universities</w:t>
      </w:r>
    </w:p>
    <w:p w:rsidR="00D9485F" w:rsidRPr="00120BA0" w:rsidRDefault="00D9485F" w:rsidP="00D9485F">
      <w:pPr>
        <w:bidi w:val="0"/>
        <w:ind w:left="70"/>
        <w:jc w:val="lowKashida"/>
        <w:rPr>
          <w:rFonts w:asciiTheme="majorBidi" w:hAnsiTheme="majorBidi" w:cstheme="majorBidi"/>
          <w:rtl/>
          <w:lang w:eastAsia="en-US"/>
        </w:rPr>
      </w:pPr>
    </w:p>
    <w:tbl>
      <w:tblPr>
        <w:tblStyle w:val="TableGrid"/>
        <w:tblW w:w="9072" w:type="dxa"/>
        <w:jc w:val="center"/>
        <w:tblLook w:val="04A0"/>
      </w:tblPr>
      <w:tblGrid>
        <w:gridCol w:w="9072"/>
      </w:tblGrid>
      <w:tr w:rsidR="000450AE" w:rsidRPr="00A13D4D" w:rsidTr="000450AE">
        <w:trPr>
          <w:jc w:val="center"/>
        </w:trPr>
        <w:tc>
          <w:tcPr>
            <w:tcW w:w="9289" w:type="dxa"/>
            <w:vAlign w:val="center"/>
          </w:tcPr>
          <w:p w:rsidR="000450AE" w:rsidRPr="00A13D4D" w:rsidRDefault="000450AE" w:rsidP="000450AE">
            <w:pPr>
              <w:bidi w:val="0"/>
              <w:jc w:val="center"/>
              <w:rPr>
                <w:lang w:eastAsia="en-US"/>
              </w:rPr>
            </w:pPr>
            <w:r w:rsidRPr="00A13D4D">
              <w:rPr>
                <w:b/>
                <w:bCs/>
                <w:lang w:eastAsia="en-US"/>
              </w:rPr>
              <w:t>Teaching methods are behind the different levels of graduates of the Palestinian universities and the graduates of the universities from abroad</w:t>
            </w:r>
          </w:p>
        </w:tc>
      </w:tr>
    </w:tbl>
    <w:p w:rsidR="000450AE" w:rsidRPr="00A13D4D" w:rsidRDefault="000450AE" w:rsidP="00A06648">
      <w:pPr>
        <w:bidi w:val="0"/>
        <w:ind w:left="70"/>
        <w:jc w:val="both"/>
        <w:rPr>
          <w:sz w:val="18"/>
          <w:szCs w:val="18"/>
          <w:lang w:eastAsia="en-US"/>
        </w:rPr>
      </w:pPr>
    </w:p>
    <w:p w:rsidR="00CD7E9D" w:rsidRPr="00A13D4D" w:rsidRDefault="00CD7E9D" w:rsidP="00FD620D">
      <w:pPr>
        <w:bidi w:val="0"/>
        <w:ind w:left="70"/>
        <w:jc w:val="both"/>
        <w:rPr>
          <w:rtl/>
          <w:lang w:eastAsia="en-US"/>
        </w:rPr>
      </w:pPr>
      <w:r w:rsidRPr="00A13D4D">
        <w:rPr>
          <w:lang w:eastAsia="en-US"/>
        </w:rPr>
        <w:t xml:space="preserve">The </w:t>
      </w:r>
      <w:r w:rsidR="00FD620D">
        <w:rPr>
          <w:lang w:eastAsia="en-US"/>
        </w:rPr>
        <w:t>results</w:t>
      </w:r>
      <w:r w:rsidRPr="00A13D4D">
        <w:rPr>
          <w:lang w:eastAsia="en-US"/>
        </w:rPr>
        <w:t xml:space="preserve"> showed that 89.1% of the faculty of law academicians believe that the teaching methods were used in the universities from abroad are better than those adopted in the Palestinian universities,</w:t>
      </w:r>
      <w:r w:rsidRPr="00A13D4D">
        <w:t xml:space="preserve"> </w:t>
      </w:r>
      <w:r w:rsidRPr="00A13D4D">
        <w:rPr>
          <w:lang w:eastAsia="en-US"/>
        </w:rPr>
        <w:t>and 88.4% of the students support this belief. While 77.4% of faculty of law students find that the difference in the methodology of school education is the reason behind the difference, compared to 67.1% of the faculty of law academicians</w:t>
      </w:r>
      <w:r w:rsidR="006337C5" w:rsidRPr="00A13D4D">
        <w:rPr>
          <w:lang w:eastAsia="en-US"/>
        </w:rPr>
        <w:t>.</w:t>
      </w:r>
      <w:r w:rsidR="00C72978" w:rsidRPr="00A13D4D">
        <w:rPr>
          <w:lang w:eastAsia="en-US"/>
        </w:rPr>
        <w:t xml:space="preserve"> </w:t>
      </w:r>
      <w:r w:rsidR="00FD620D">
        <w:rPr>
          <w:lang w:eastAsia="en-US"/>
        </w:rPr>
        <w:t>(</w:t>
      </w:r>
      <w:r w:rsidR="006337C5" w:rsidRPr="00A13D4D">
        <w:rPr>
          <w:lang w:eastAsia="en-US"/>
        </w:rPr>
        <w:t>see table</w:t>
      </w:r>
      <w:r w:rsidR="009A3202" w:rsidRPr="00A13D4D">
        <w:rPr>
          <w:lang w:eastAsia="en-US"/>
        </w:rPr>
        <w:t>s</w:t>
      </w:r>
      <w:r w:rsidR="006337C5" w:rsidRPr="00A13D4D">
        <w:rPr>
          <w:lang w:eastAsia="en-US"/>
        </w:rPr>
        <w:t xml:space="preserve"> </w:t>
      </w:r>
      <w:r w:rsidR="00A06648" w:rsidRPr="00A13D4D">
        <w:rPr>
          <w:lang w:eastAsia="en-US"/>
        </w:rPr>
        <w:t>33</w:t>
      </w:r>
      <w:r w:rsidR="009A3202" w:rsidRPr="00A13D4D">
        <w:rPr>
          <w:lang w:eastAsia="en-US"/>
        </w:rPr>
        <w:t xml:space="preserve"> and 3</w:t>
      </w:r>
      <w:r w:rsidR="00A06648" w:rsidRPr="00A13D4D">
        <w:rPr>
          <w:lang w:eastAsia="en-US"/>
        </w:rPr>
        <w:t>4</w:t>
      </w:r>
      <w:r w:rsidR="006337C5" w:rsidRPr="00A13D4D">
        <w:rPr>
          <w:lang w:eastAsia="en-US"/>
        </w:rPr>
        <w:t>)</w:t>
      </w:r>
      <w:r w:rsidR="005B4307" w:rsidRPr="00A13D4D">
        <w:rPr>
          <w:lang w:eastAsia="en-US"/>
        </w:rPr>
        <w:t>.</w:t>
      </w:r>
    </w:p>
    <w:p w:rsidR="00DB5D33" w:rsidRPr="00A24F82" w:rsidRDefault="00DB5D33" w:rsidP="00AF40B0">
      <w:pPr>
        <w:autoSpaceDE w:val="0"/>
        <w:autoSpaceDN w:val="0"/>
        <w:bidi w:val="0"/>
        <w:adjustRightInd w:val="0"/>
        <w:rPr>
          <w:rFonts w:asciiTheme="majorBidi" w:hAnsiTheme="majorBidi" w:cstheme="majorBidi"/>
          <w:b/>
          <w:bCs/>
          <w:sz w:val="18"/>
          <w:szCs w:val="18"/>
        </w:rPr>
      </w:pPr>
    </w:p>
    <w:p w:rsidR="00CD7E9D" w:rsidRPr="00704A82" w:rsidRDefault="00CD7E9D" w:rsidP="00A50BDB">
      <w:pPr>
        <w:bidi w:val="0"/>
        <w:ind w:left="70"/>
        <w:jc w:val="center"/>
        <w:rPr>
          <w:rFonts w:ascii="Arial" w:hAnsi="Arial" w:cs="Arial"/>
          <w:b/>
          <w:bCs/>
          <w:sz w:val="22"/>
          <w:szCs w:val="22"/>
          <w:rtl/>
          <w:lang w:eastAsia="en-US"/>
        </w:rPr>
      </w:pPr>
      <w:r w:rsidRPr="00704A82">
        <w:rPr>
          <w:rFonts w:ascii="Arial" w:hAnsi="Arial" w:cs="Arial"/>
          <w:b/>
          <w:bCs/>
          <w:sz w:val="22"/>
          <w:szCs w:val="22"/>
          <w:lang w:eastAsia="en-US"/>
        </w:rPr>
        <w:t>Percentage Distribution of Law Academicians and Law Students in Palestinian Universities by their Opinion on Reasons for the Difference between Stude</w:t>
      </w:r>
      <w:r w:rsidR="00FD620D">
        <w:rPr>
          <w:rFonts w:ascii="Arial" w:hAnsi="Arial" w:cs="Arial"/>
          <w:b/>
          <w:bCs/>
          <w:sz w:val="22"/>
          <w:szCs w:val="22"/>
          <w:lang w:eastAsia="en-US"/>
        </w:rPr>
        <w:t xml:space="preserve">nts </w:t>
      </w:r>
      <w:r w:rsidR="00A50BDB" w:rsidRPr="00A50BDB">
        <w:rPr>
          <w:rFonts w:ascii="Arial" w:hAnsi="Arial" w:cs="Arial"/>
          <w:b/>
          <w:bCs/>
          <w:sz w:val="22"/>
          <w:szCs w:val="22"/>
          <w:lang w:eastAsia="en-US"/>
        </w:rPr>
        <w:t>graduates</w:t>
      </w:r>
      <w:r w:rsidR="00FD620D">
        <w:rPr>
          <w:rFonts w:ascii="Arial" w:hAnsi="Arial" w:cs="Arial"/>
          <w:b/>
          <w:bCs/>
          <w:sz w:val="22"/>
          <w:szCs w:val="22"/>
          <w:lang w:eastAsia="en-US"/>
        </w:rPr>
        <w:t xml:space="preserve"> Abroad and Students </w:t>
      </w:r>
      <w:r w:rsidR="00A50BDB" w:rsidRPr="00A50BDB">
        <w:rPr>
          <w:rFonts w:ascii="Arial" w:hAnsi="Arial" w:cs="Arial"/>
          <w:b/>
          <w:bCs/>
          <w:sz w:val="22"/>
          <w:szCs w:val="22"/>
          <w:lang w:eastAsia="en-US"/>
        </w:rPr>
        <w:t>graduates</w:t>
      </w:r>
      <w:r w:rsidRPr="00704A82">
        <w:rPr>
          <w:rFonts w:ascii="Arial" w:hAnsi="Arial" w:cs="Arial"/>
          <w:b/>
          <w:bCs/>
          <w:sz w:val="22"/>
          <w:szCs w:val="22"/>
          <w:lang w:eastAsia="en-US"/>
        </w:rPr>
        <w:t xml:space="preserve"> in Palestine and Sex, </w:t>
      </w:r>
      <w:r w:rsidR="00A50BDB">
        <w:rPr>
          <w:rFonts w:ascii="Arial" w:hAnsi="Arial" w:cs="Arial"/>
          <w:b/>
          <w:bCs/>
          <w:sz w:val="22"/>
          <w:szCs w:val="22"/>
          <w:lang w:eastAsia="en-US"/>
        </w:rPr>
        <w:t xml:space="preserve">                 </w:t>
      </w:r>
      <w:r w:rsidRPr="00704A82">
        <w:rPr>
          <w:rFonts w:ascii="Arial" w:hAnsi="Arial" w:cs="Arial"/>
          <w:b/>
          <w:bCs/>
          <w:sz w:val="22"/>
          <w:szCs w:val="22"/>
          <w:lang w:eastAsia="en-US"/>
        </w:rPr>
        <w:t>September-October 2018</w:t>
      </w:r>
    </w:p>
    <w:tbl>
      <w:tblPr>
        <w:tblStyle w:val="TableGrid"/>
        <w:bidiVisual/>
        <w:tblW w:w="0" w:type="auto"/>
        <w:jc w:val="center"/>
        <w:tblLook w:val="04A0"/>
      </w:tblPr>
      <w:tblGrid>
        <w:gridCol w:w="9039"/>
      </w:tblGrid>
      <w:tr w:rsidR="00DB5D33" w:rsidRPr="00A73F21" w:rsidTr="00120BA0">
        <w:trPr>
          <w:trHeight w:val="3103"/>
          <w:jc w:val="center"/>
        </w:trPr>
        <w:tc>
          <w:tcPr>
            <w:tcW w:w="9039" w:type="dxa"/>
          </w:tcPr>
          <w:p w:rsidR="00DB5D33" w:rsidRPr="00A73F21" w:rsidRDefault="00DB5D33" w:rsidP="00AF40B0">
            <w:pPr>
              <w:bidi w:val="0"/>
              <w:jc w:val="center"/>
              <w:rPr>
                <w:rFonts w:ascii="Simplified Arabic" w:hAnsi="Simplified Arabic" w:cs="Simplified Arabic"/>
                <w:b/>
                <w:bCs/>
                <w:color w:val="FF0000"/>
                <w:sz w:val="22"/>
                <w:szCs w:val="22"/>
                <w:rtl/>
                <w:lang w:eastAsia="en-US"/>
              </w:rPr>
            </w:pPr>
            <w:r w:rsidRPr="00A73F21">
              <w:rPr>
                <w:rFonts w:ascii="Simplified Arabic" w:hAnsi="Simplified Arabic" w:cs="Simplified Arabic" w:hint="cs"/>
                <w:b/>
                <w:bCs/>
                <w:noProof/>
                <w:color w:val="FF0000"/>
                <w:sz w:val="22"/>
                <w:szCs w:val="22"/>
                <w:rtl/>
                <w:lang w:eastAsia="en-US"/>
              </w:rPr>
              <w:drawing>
                <wp:inline distT="0" distB="0" distL="0" distR="0">
                  <wp:extent cx="5544065" cy="2257167"/>
                  <wp:effectExtent l="0" t="0" r="0" b="0"/>
                  <wp:docPr id="18"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DB5D33" w:rsidRPr="00A73F21" w:rsidRDefault="00DB5D33" w:rsidP="00AF40B0">
      <w:pPr>
        <w:bidi w:val="0"/>
        <w:ind w:left="70"/>
        <w:jc w:val="center"/>
        <w:rPr>
          <w:rFonts w:ascii="Simplified Arabic" w:hAnsi="Simplified Arabic" w:cs="Simplified Arabic"/>
          <w:b/>
          <w:bCs/>
          <w:color w:val="FF0000"/>
          <w:sz w:val="22"/>
          <w:szCs w:val="22"/>
          <w:rtl/>
          <w:lang w:eastAsia="en-US"/>
        </w:rPr>
      </w:pPr>
    </w:p>
    <w:p w:rsidR="00DB5D33" w:rsidRPr="00A73F21" w:rsidRDefault="00DB5D33" w:rsidP="00AF40B0">
      <w:pPr>
        <w:autoSpaceDE w:val="0"/>
        <w:autoSpaceDN w:val="0"/>
        <w:bidi w:val="0"/>
        <w:adjustRightInd w:val="0"/>
        <w:rPr>
          <w:b/>
          <w:bCs/>
        </w:rPr>
      </w:pPr>
    </w:p>
    <w:p w:rsidR="00DB5D33" w:rsidRPr="00A73F21" w:rsidRDefault="00DB5D33" w:rsidP="00AF40B0">
      <w:pPr>
        <w:autoSpaceDE w:val="0"/>
        <w:autoSpaceDN w:val="0"/>
        <w:bidi w:val="0"/>
        <w:adjustRightInd w:val="0"/>
        <w:rPr>
          <w:b/>
          <w:bCs/>
          <w:rtl/>
        </w:rPr>
      </w:pPr>
    </w:p>
    <w:p w:rsidR="00DB5D33" w:rsidRPr="00A73F21" w:rsidRDefault="00DB5D33" w:rsidP="00AF40B0">
      <w:pPr>
        <w:autoSpaceDE w:val="0"/>
        <w:autoSpaceDN w:val="0"/>
        <w:bidi w:val="0"/>
        <w:adjustRightInd w:val="0"/>
        <w:rPr>
          <w:b/>
          <w:bCs/>
        </w:rPr>
      </w:pPr>
    </w:p>
    <w:p w:rsidR="00DB5D33" w:rsidRPr="00A73F21" w:rsidRDefault="00DB5D33" w:rsidP="00AF40B0">
      <w:pPr>
        <w:autoSpaceDE w:val="0"/>
        <w:autoSpaceDN w:val="0"/>
        <w:bidi w:val="0"/>
        <w:adjustRightInd w:val="0"/>
        <w:rPr>
          <w:b/>
          <w:bCs/>
        </w:rPr>
      </w:pPr>
    </w:p>
    <w:p w:rsidR="00DB5D33" w:rsidRPr="00A73F21" w:rsidRDefault="00DB5D33" w:rsidP="00AF40B0">
      <w:pPr>
        <w:autoSpaceDE w:val="0"/>
        <w:autoSpaceDN w:val="0"/>
        <w:bidi w:val="0"/>
        <w:adjustRightInd w:val="0"/>
        <w:rPr>
          <w:b/>
          <w:bCs/>
        </w:rPr>
      </w:pPr>
    </w:p>
    <w:p w:rsidR="005539B7" w:rsidRPr="00981A00" w:rsidRDefault="005539B7" w:rsidP="00F33273">
      <w:pPr>
        <w:bidi w:val="0"/>
        <w:jc w:val="center"/>
        <w:rPr>
          <w:color w:val="000000" w:themeColor="text1"/>
          <w:rtl/>
        </w:rPr>
      </w:pPr>
      <w:bookmarkStart w:id="0" w:name="_Toc93808840"/>
      <w:bookmarkStart w:id="1" w:name="_Toc93809605"/>
      <w:bookmarkStart w:id="2" w:name="_Toc94327375"/>
      <w:bookmarkStart w:id="3" w:name="_Toc108752598"/>
      <w:r w:rsidRPr="00981A00">
        <w:rPr>
          <w:color w:val="000000" w:themeColor="text1"/>
        </w:rPr>
        <w:lastRenderedPageBreak/>
        <w:t>Chapter Three</w:t>
      </w:r>
    </w:p>
    <w:p w:rsidR="005539B7" w:rsidRPr="00981A00" w:rsidRDefault="005539B7" w:rsidP="00AC476D">
      <w:pPr>
        <w:bidi w:val="0"/>
        <w:jc w:val="center"/>
        <w:rPr>
          <w:color w:val="000000" w:themeColor="text1"/>
          <w:sz w:val="20"/>
          <w:rtl/>
        </w:rPr>
      </w:pPr>
    </w:p>
    <w:p w:rsidR="005539B7" w:rsidRPr="00981A00" w:rsidRDefault="005539B7" w:rsidP="00AC476D">
      <w:pPr>
        <w:bidi w:val="0"/>
        <w:jc w:val="center"/>
        <w:rPr>
          <w:b/>
          <w:bCs/>
          <w:color w:val="000000" w:themeColor="text1"/>
          <w:sz w:val="28"/>
          <w:szCs w:val="28"/>
        </w:rPr>
      </w:pPr>
      <w:r w:rsidRPr="00981A00">
        <w:rPr>
          <w:b/>
          <w:bCs/>
          <w:color w:val="000000" w:themeColor="text1"/>
          <w:sz w:val="28"/>
          <w:szCs w:val="28"/>
        </w:rPr>
        <w:t>Methodology</w:t>
      </w:r>
    </w:p>
    <w:p w:rsidR="005539B7" w:rsidRPr="00981A00" w:rsidRDefault="005539B7" w:rsidP="00AC476D">
      <w:pPr>
        <w:bidi w:val="0"/>
        <w:rPr>
          <w:color w:val="000000" w:themeColor="text1"/>
        </w:rPr>
      </w:pPr>
    </w:p>
    <w:p w:rsidR="00D5377A" w:rsidRPr="00981A00" w:rsidRDefault="00D5377A" w:rsidP="00847BF6">
      <w:pPr>
        <w:bidi w:val="0"/>
        <w:ind w:left="-1"/>
        <w:rPr>
          <w:b/>
          <w:bCs/>
          <w:lang w:eastAsia="en-US"/>
        </w:rPr>
      </w:pPr>
      <w:r w:rsidRPr="00981A00">
        <w:rPr>
          <w:b/>
          <w:bCs/>
          <w:lang w:eastAsia="en-US"/>
        </w:rPr>
        <w:t>3.1 Survey Objectives</w:t>
      </w:r>
    </w:p>
    <w:p w:rsidR="00CD7E9D" w:rsidRPr="00981A00" w:rsidRDefault="00CD7E9D" w:rsidP="00847BF6">
      <w:pPr>
        <w:bidi w:val="0"/>
        <w:spacing w:line="276" w:lineRule="auto"/>
        <w:ind w:left="-1"/>
      </w:pPr>
      <w:r w:rsidRPr="00981A00">
        <w:t>The survey aims to provide the necessary data to diagnose and analyze the real situation of the rule of law and access to justice in Palestine, in addition to provide statistical data on the rule  of law and access to justice in order to identify the weaknesses and gaps that will be addressed to strengthen the Palestinian justice sector.</w:t>
      </w:r>
    </w:p>
    <w:p w:rsidR="00E5781C" w:rsidRPr="00981A00" w:rsidRDefault="00E5781C" w:rsidP="00847BF6">
      <w:pPr>
        <w:bidi w:val="0"/>
        <w:ind w:left="-1"/>
        <w:rPr>
          <w:sz w:val="18"/>
          <w:szCs w:val="18"/>
          <w:rtl/>
        </w:rPr>
      </w:pPr>
    </w:p>
    <w:p w:rsidR="00D5377A" w:rsidRPr="00981A00" w:rsidRDefault="00D5377A" w:rsidP="00847BF6">
      <w:pPr>
        <w:bidi w:val="0"/>
        <w:ind w:left="-1"/>
        <w:rPr>
          <w:lang w:eastAsia="en-US"/>
        </w:rPr>
      </w:pPr>
      <w:r w:rsidRPr="00981A00">
        <w:rPr>
          <w:b/>
          <w:bCs/>
          <w:rtl/>
          <w:lang w:eastAsia="en-US"/>
        </w:rPr>
        <w:t>3</w:t>
      </w:r>
      <w:r w:rsidRPr="00981A00">
        <w:rPr>
          <w:b/>
          <w:bCs/>
          <w:lang w:eastAsia="en-US"/>
        </w:rPr>
        <w:t>.</w:t>
      </w:r>
      <w:r w:rsidRPr="00981A00">
        <w:rPr>
          <w:b/>
          <w:bCs/>
          <w:rtl/>
          <w:lang w:eastAsia="en-US"/>
        </w:rPr>
        <w:t>2</w:t>
      </w:r>
      <w:r w:rsidRPr="00981A00">
        <w:rPr>
          <w:b/>
          <w:bCs/>
          <w:lang w:eastAsia="en-US"/>
        </w:rPr>
        <w:t xml:space="preserve"> Survey Questionnaire</w:t>
      </w:r>
    </w:p>
    <w:p w:rsidR="00D5377A" w:rsidRPr="00981A00" w:rsidRDefault="00D5377A" w:rsidP="00847BF6">
      <w:pPr>
        <w:bidi w:val="0"/>
        <w:ind w:left="-1"/>
        <w:rPr>
          <w:lang w:eastAsia="en-US"/>
        </w:rPr>
      </w:pPr>
      <w:r w:rsidRPr="00981A00">
        <w:t xml:space="preserve">The questionnaire is the key tool for </w:t>
      </w:r>
      <w:r w:rsidR="00C524B5" w:rsidRPr="00981A00">
        <w:t xml:space="preserve">data </w:t>
      </w:r>
      <w:r w:rsidRPr="00981A00">
        <w:t xml:space="preserve">collection. It must be </w:t>
      </w:r>
      <w:r w:rsidR="00C524B5" w:rsidRPr="00981A00">
        <w:t>in line with</w:t>
      </w:r>
      <w:r w:rsidRPr="00981A00">
        <w:t xml:space="preserve"> the technical terms of reference of fieldwork to allow for data processing and analysis.</w:t>
      </w:r>
      <w:r w:rsidRPr="00981A00">
        <w:rPr>
          <w:lang w:eastAsia="en-US"/>
        </w:rPr>
        <w:t xml:space="preserve"> Where </w:t>
      </w:r>
      <w:r w:rsidR="00C524B5" w:rsidRPr="00981A00">
        <w:rPr>
          <w:lang w:eastAsia="en-US"/>
        </w:rPr>
        <w:t xml:space="preserve">the </w:t>
      </w:r>
      <w:r w:rsidRPr="00981A00">
        <w:rPr>
          <w:lang w:eastAsia="en-US"/>
        </w:rPr>
        <w:t xml:space="preserve">data </w:t>
      </w:r>
      <w:r w:rsidR="00C524B5" w:rsidRPr="00981A00">
        <w:rPr>
          <w:lang w:eastAsia="en-US"/>
        </w:rPr>
        <w:t xml:space="preserve">were </w:t>
      </w:r>
      <w:r w:rsidRPr="00981A00">
        <w:rPr>
          <w:lang w:eastAsia="en-US"/>
        </w:rPr>
        <w:t>collected by using eight questionnaire</w:t>
      </w:r>
      <w:r w:rsidR="00DA7008" w:rsidRPr="00981A00">
        <w:rPr>
          <w:lang w:eastAsia="en-US"/>
        </w:rPr>
        <w:t>s</w:t>
      </w:r>
      <w:r w:rsidRPr="00981A00">
        <w:rPr>
          <w:lang w:eastAsia="en-US"/>
        </w:rPr>
        <w:t xml:space="preserve">: </w:t>
      </w:r>
    </w:p>
    <w:p w:rsidR="009C1DD8" w:rsidRPr="00800F6D" w:rsidRDefault="009C1DD8" w:rsidP="00DC65F2">
      <w:pPr>
        <w:pStyle w:val="ListParagraph"/>
        <w:numPr>
          <w:ilvl w:val="0"/>
          <w:numId w:val="31"/>
        </w:numPr>
        <w:bidi w:val="0"/>
        <w:ind w:left="426" w:firstLine="0"/>
        <w:contextualSpacing/>
      </w:pPr>
      <w:r w:rsidRPr="00800F6D">
        <w:t xml:space="preserve">Questionnaire </w:t>
      </w:r>
      <w:r w:rsidR="00C524B5" w:rsidRPr="00800F6D">
        <w:t>on</w:t>
      </w:r>
      <w:r w:rsidRPr="00800F6D">
        <w:t xml:space="preserve"> Public perception on status of justice in Palestine.</w:t>
      </w:r>
    </w:p>
    <w:p w:rsidR="009C1DD8" w:rsidRPr="00800F6D" w:rsidRDefault="009C1DD8" w:rsidP="00DC65F2">
      <w:pPr>
        <w:pStyle w:val="ListParagraph"/>
        <w:numPr>
          <w:ilvl w:val="0"/>
          <w:numId w:val="31"/>
        </w:numPr>
        <w:bidi w:val="0"/>
        <w:ind w:left="426" w:firstLine="0"/>
        <w:contextualSpacing/>
      </w:pPr>
      <w:r w:rsidRPr="00800F6D">
        <w:t xml:space="preserve">Questionnaire </w:t>
      </w:r>
      <w:r w:rsidR="00C524B5" w:rsidRPr="00800F6D">
        <w:t>on</w:t>
      </w:r>
      <w:r w:rsidRPr="00800F6D">
        <w:t xml:space="preserve"> perception of </w:t>
      </w:r>
      <w:r w:rsidR="00C524B5" w:rsidRPr="00800F6D">
        <w:t>prosecution</w:t>
      </w:r>
      <w:r w:rsidRPr="00800F6D">
        <w:t xml:space="preserve"> members. </w:t>
      </w:r>
    </w:p>
    <w:p w:rsidR="00CA4631" w:rsidRPr="00800F6D" w:rsidRDefault="00CA4631" w:rsidP="00DC65F2">
      <w:pPr>
        <w:pStyle w:val="ListParagraph"/>
        <w:numPr>
          <w:ilvl w:val="0"/>
          <w:numId w:val="31"/>
        </w:numPr>
        <w:bidi w:val="0"/>
        <w:ind w:left="426" w:firstLine="0"/>
        <w:contextualSpacing/>
      </w:pPr>
      <w:r w:rsidRPr="00800F6D">
        <w:t xml:space="preserve">Questionnaire </w:t>
      </w:r>
      <w:r w:rsidR="00C524B5" w:rsidRPr="00800F6D">
        <w:t>on</w:t>
      </w:r>
      <w:r w:rsidRPr="00800F6D">
        <w:t xml:space="preserve"> perception of judges. </w:t>
      </w:r>
    </w:p>
    <w:p w:rsidR="00CA4631" w:rsidRPr="00800F6D" w:rsidRDefault="00CA4631" w:rsidP="00DC65F2">
      <w:pPr>
        <w:pStyle w:val="ListParagraph"/>
        <w:numPr>
          <w:ilvl w:val="0"/>
          <w:numId w:val="31"/>
        </w:numPr>
        <w:bidi w:val="0"/>
        <w:ind w:left="426" w:firstLine="0"/>
        <w:contextualSpacing/>
      </w:pPr>
      <w:r w:rsidRPr="00800F6D">
        <w:t xml:space="preserve">Questionnaire </w:t>
      </w:r>
      <w:r w:rsidR="00C524B5" w:rsidRPr="00800F6D">
        <w:t>on</w:t>
      </w:r>
      <w:r w:rsidRPr="00800F6D">
        <w:t xml:space="preserve"> perception of shari'a judges</w:t>
      </w:r>
    </w:p>
    <w:p w:rsidR="00CA4631" w:rsidRPr="00800F6D" w:rsidRDefault="00CA4631" w:rsidP="00DC65F2">
      <w:pPr>
        <w:pStyle w:val="ListParagraph"/>
        <w:numPr>
          <w:ilvl w:val="0"/>
          <w:numId w:val="31"/>
        </w:numPr>
        <w:bidi w:val="0"/>
        <w:ind w:left="426" w:firstLine="0"/>
        <w:contextualSpacing/>
      </w:pPr>
      <w:r w:rsidRPr="00800F6D">
        <w:t xml:space="preserve">Questionnaire </w:t>
      </w:r>
      <w:r w:rsidR="00C524B5" w:rsidRPr="00800F6D">
        <w:t>on</w:t>
      </w:r>
      <w:r w:rsidRPr="00800F6D">
        <w:t xml:space="preserve"> perception </w:t>
      </w:r>
      <w:r w:rsidR="00C524B5" w:rsidRPr="00800F6D">
        <w:t>of practicing lawyer</w:t>
      </w:r>
      <w:r w:rsidRPr="00800F6D">
        <w:t xml:space="preserve">. </w:t>
      </w:r>
    </w:p>
    <w:p w:rsidR="00CA4631" w:rsidRPr="00800F6D" w:rsidRDefault="00CA4631" w:rsidP="00DC65F2">
      <w:pPr>
        <w:pStyle w:val="ListParagraph"/>
        <w:numPr>
          <w:ilvl w:val="0"/>
          <w:numId w:val="31"/>
        </w:numPr>
        <w:bidi w:val="0"/>
        <w:ind w:left="426" w:firstLine="0"/>
        <w:contextualSpacing/>
      </w:pPr>
      <w:r w:rsidRPr="00800F6D">
        <w:t xml:space="preserve"> Questionnaire </w:t>
      </w:r>
      <w:r w:rsidR="00C524B5" w:rsidRPr="00800F6D">
        <w:t>on</w:t>
      </w:r>
      <w:r w:rsidRPr="00800F6D">
        <w:t xml:space="preserve"> perception </w:t>
      </w:r>
      <w:r w:rsidR="00C524B5" w:rsidRPr="00800F6D">
        <w:t>of training lawyer</w:t>
      </w:r>
      <w:r w:rsidRPr="00800F6D">
        <w:t>.</w:t>
      </w:r>
    </w:p>
    <w:p w:rsidR="00CA4631" w:rsidRPr="00800F6D" w:rsidRDefault="00CA4631" w:rsidP="00DC65F2">
      <w:pPr>
        <w:pStyle w:val="ListParagraph"/>
        <w:numPr>
          <w:ilvl w:val="0"/>
          <w:numId w:val="31"/>
        </w:numPr>
        <w:bidi w:val="0"/>
        <w:ind w:left="426" w:firstLine="0"/>
        <w:contextualSpacing/>
      </w:pPr>
      <w:r w:rsidRPr="00800F6D">
        <w:t xml:space="preserve">Questionnaire </w:t>
      </w:r>
      <w:r w:rsidR="00C524B5" w:rsidRPr="00800F6D">
        <w:t>on</w:t>
      </w:r>
      <w:r w:rsidRPr="00800F6D">
        <w:t xml:space="preserve"> perception of Law </w:t>
      </w:r>
      <w:r w:rsidR="00C524B5" w:rsidRPr="00800F6D">
        <w:t>Academicians</w:t>
      </w:r>
      <w:r w:rsidRPr="00800F6D">
        <w:t xml:space="preserve"> in Palestinian Universities.</w:t>
      </w:r>
    </w:p>
    <w:p w:rsidR="00CA4631" w:rsidRPr="00800F6D" w:rsidRDefault="00CA4631" w:rsidP="00DC65F2">
      <w:pPr>
        <w:pStyle w:val="ListParagraph"/>
        <w:numPr>
          <w:ilvl w:val="0"/>
          <w:numId w:val="31"/>
        </w:numPr>
        <w:bidi w:val="0"/>
        <w:ind w:left="426" w:firstLine="0"/>
        <w:contextualSpacing/>
      </w:pPr>
      <w:r w:rsidRPr="00800F6D">
        <w:t xml:space="preserve">Questionnaire </w:t>
      </w:r>
      <w:r w:rsidR="00C524B5" w:rsidRPr="00800F6D">
        <w:t>on</w:t>
      </w:r>
      <w:r w:rsidRPr="00800F6D">
        <w:t xml:space="preserve"> perception of Law Students in Palestinian Universities.</w:t>
      </w:r>
    </w:p>
    <w:p w:rsidR="00DA7008" w:rsidRPr="00120BA0" w:rsidRDefault="00DA7008" w:rsidP="00847BF6">
      <w:pPr>
        <w:bidi w:val="0"/>
        <w:ind w:left="-1"/>
        <w:rPr>
          <w:b/>
          <w:bCs/>
          <w:sz w:val="22"/>
          <w:szCs w:val="22"/>
          <w:rtl/>
          <w:lang w:eastAsia="en-US"/>
        </w:rPr>
      </w:pPr>
    </w:p>
    <w:p w:rsidR="00DA7008" w:rsidRPr="00981A00" w:rsidRDefault="00DA7008" w:rsidP="00847BF6">
      <w:pPr>
        <w:bidi w:val="0"/>
        <w:ind w:left="-1"/>
        <w:rPr>
          <w:b/>
          <w:bCs/>
          <w:lang w:eastAsia="en-US"/>
        </w:rPr>
      </w:pPr>
      <w:r w:rsidRPr="00981A00">
        <w:rPr>
          <w:b/>
          <w:bCs/>
          <w:rtl/>
          <w:lang w:eastAsia="en-US"/>
        </w:rPr>
        <w:t>3.3</w:t>
      </w:r>
      <w:r w:rsidRPr="00981A00">
        <w:rPr>
          <w:b/>
          <w:bCs/>
          <w:lang w:eastAsia="en-US"/>
        </w:rPr>
        <w:t xml:space="preserve"> Sampling and Frame</w:t>
      </w:r>
    </w:p>
    <w:p w:rsidR="00C84E64" w:rsidRPr="00981A00" w:rsidRDefault="00C84E64" w:rsidP="00C84E64">
      <w:pPr>
        <w:bidi w:val="0"/>
        <w:ind w:left="-1"/>
        <w:rPr>
          <w:b/>
          <w:bCs/>
          <w:sz w:val="18"/>
          <w:szCs w:val="18"/>
          <w:lang w:eastAsia="en-US"/>
        </w:rPr>
      </w:pPr>
    </w:p>
    <w:p w:rsidR="00E5781C" w:rsidRPr="00981A00" w:rsidRDefault="00DA7008" w:rsidP="00847BF6">
      <w:pPr>
        <w:bidi w:val="0"/>
        <w:ind w:left="-1"/>
        <w:rPr>
          <w:b/>
          <w:bCs/>
          <w:lang w:eastAsia="en-US"/>
        </w:rPr>
      </w:pPr>
      <w:r w:rsidRPr="00981A00">
        <w:rPr>
          <w:b/>
          <w:bCs/>
          <w:lang w:eastAsia="en-US"/>
        </w:rPr>
        <w:t xml:space="preserve">3.3.1 </w:t>
      </w:r>
      <w:r w:rsidR="00855AB8" w:rsidRPr="00981A00">
        <w:rPr>
          <w:b/>
          <w:bCs/>
          <w:lang w:eastAsia="en-US"/>
        </w:rPr>
        <w:t xml:space="preserve">   Survey of Public Perception </w:t>
      </w:r>
    </w:p>
    <w:p w:rsidR="00C84E64" w:rsidRPr="00981A00" w:rsidRDefault="00C84E64" w:rsidP="00C84E64">
      <w:pPr>
        <w:bidi w:val="0"/>
        <w:ind w:left="-1"/>
        <w:rPr>
          <w:b/>
          <w:bCs/>
          <w:sz w:val="18"/>
          <w:szCs w:val="18"/>
          <w:rtl/>
          <w:lang w:eastAsia="en-US"/>
        </w:rPr>
      </w:pPr>
    </w:p>
    <w:p w:rsidR="00E5781C" w:rsidRPr="00981A00" w:rsidRDefault="00DA7008" w:rsidP="00150439">
      <w:pPr>
        <w:bidi w:val="0"/>
      </w:pPr>
      <w:r w:rsidRPr="00981A00">
        <w:rPr>
          <w:b/>
          <w:bCs/>
          <w:lang w:eastAsia="en-US"/>
        </w:rPr>
        <w:t>3.3.1.1</w:t>
      </w:r>
      <w:r w:rsidR="00E5781C" w:rsidRPr="00981A00">
        <w:rPr>
          <w:b/>
          <w:bCs/>
        </w:rPr>
        <w:t xml:space="preserve"> </w:t>
      </w:r>
      <w:r w:rsidR="00E5781C" w:rsidRPr="00981A00">
        <w:rPr>
          <w:b/>
          <w:bCs/>
          <w:rtl/>
        </w:rPr>
        <w:t xml:space="preserve">  </w:t>
      </w:r>
      <w:r w:rsidR="00E5781C" w:rsidRPr="00981A00">
        <w:rPr>
          <w:b/>
          <w:bCs/>
        </w:rPr>
        <w:t xml:space="preserve">Targeted </w:t>
      </w:r>
      <w:r w:rsidR="00855AB8" w:rsidRPr="00981A00">
        <w:rPr>
          <w:b/>
          <w:bCs/>
        </w:rPr>
        <w:t>Population</w:t>
      </w:r>
      <w:r w:rsidR="00E5781C" w:rsidRPr="00981A00">
        <w:rPr>
          <w:b/>
          <w:bCs/>
        </w:rPr>
        <w:t xml:space="preserve">:  </w:t>
      </w:r>
    </w:p>
    <w:p w:rsidR="00E5781C" w:rsidRPr="00981A00" w:rsidRDefault="00E5781C" w:rsidP="00150439">
      <w:pPr>
        <w:bidi w:val="0"/>
        <w:ind w:right="-334"/>
        <w:jc w:val="both"/>
      </w:pPr>
      <w:r w:rsidRPr="00981A00">
        <w:t xml:space="preserve">The Target population of the survey </w:t>
      </w:r>
      <w:r w:rsidR="00AC265D" w:rsidRPr="00981A00">
        <w:t xml:space="preserve">of public perception </w:t>
      </w:r>
      <w:r w:rsidRPr="00981A00">
        <w:t xml:space="preserve">consists of all Palestinian </w:t>
      </w:r>
      <w:r w:rsidR="00DA7DF6">
        <w:t>persons</w:t>
      </w:r>
      <w:r w:rsidRPr="00981A00">
        <w:t xml:space="preserve">  of</w:t>
      </w:r>
      <w:r w:rsidRPr="00981A00">
        <w:rPr>
          <w:rtl/>
        </w:rPr>
        <w:t xml:space="preserve"> </w:t>
      </w:r>
      <w:r w:rsidRPr="00981A00">
        <w:t xml:space="preserve">the age group 18 years and </w:t>
      </w:r>
      <w:r w:rsidR="00051D9C" w:rsidRPr="00981A00">
        <w:t>above</w:t>
      </w:r>
      <w:r w:rsidRPr="00981A00">
        <w:t>, who are living with th</w:t>
      </w:r>
      <w:r w:rsidR="00051D9C" w:rsidRPr="00981A00">
        <w:t>eir</w:t>
      </w:r>
      <w:r w:rsidRPr="00981A00">
        <w:t xml:space="preserve"> households normally in Palestine in 2018 .</w:t>
      </w:r>
    </w:p>
    <w:p w:rsidR="00E5781C" w:rsidRPr="00981A00" w:rsidRDefault="00E5781C" w:rsidP="00150439">
      <w:pPr>
        <w:bidi w:val="0"/>
        <w:rPr>
          <w:sz w:val="18"/>
          <w:szCs w:val="18"/>
          <w:rtl/>
        </w:rPr>
      </w:pPr>
      <w:r w:rsidRPr="00981A00">
        <w:rPr>
          <w:sz w:val="18"/>
          <w:szCs w:val="18"/>
          <w:rtl/>
        </w:rPr>
        <w:t xml:space="preserve"> </w:t>
      </w:r>
    </w:p>
    <w:p w:rsidR="00E5781C" w:rsidRPr="00981A00" w:rsidRDefault="00DA7008" w:rsidP="00150439">
      <w:pPr>
        <w:bidi w:val="0"/>
        <w:rPr>
          <w:b/>
          <w:bCs/>
        </w:rPr>
      </w:pPr>
      <w:r w:rsidRPr="00981A00">
        <w:rPr>
          <w:b/>
          <w:bCs/>
          <w:lang w:eastAsia="en-US"/>
        </w:rPr>
        <w:t>3.3.1.2</w:t>
      </w:r>
      <w:r w:rsidR="00E5781C" w:rsidRPr="00981A00">
        <w:rPr>
          <w:b/>
          <w:bCs/>
          <w:rtl/>
          <w:lang w:eastAsia="en-US"/>
        </w:rPr>
        <w:t xml:space="preserve">  </w:t>
      </w:r>
      <w:r w:rsidR="00E5781C" w:rsidRPr="00981A00">
        <w:rPr>
          <w:b/>
          <w:bCs/>
        </w:rPr>
        <w:t xml:space="preserve">Sample </w:t>
      </w:r>
      <w:r w:rsidR="005569F9" w:rsidRPr="00981A00">
        <w:rPr>
          <w:b/>
          <w:bCs/>
        </w:rPr>
        <w:t>Frame</w:t>
      </w:r>
      <w:r w:rsidR="00E5781C" w:rsidRPr="00981A00">
        <w:rPr>
          <w:b/>
          <w:bCs/>
        </w:rPr>
        <w:t xml:space="preserve"> </w:t>
      </w:r>
    </w:p>
    <w:p w:rsidR="00E5781C" w:rsidRPr="00981A00" w:rsidRDefault="00E5781C" w:rsidP="00150439">
      <w:pPr>
        <w:bidi w:val="0"/>
        <w:ind w:right="-334"/>
        <w:jc w:val="both"/>
      </w:pPr>
      <w:r w:rsidRPr="00981A00">
        <w:t>The sampling frame of the survey consists of a list of enumeration areas from the population and buildings and establishments census</w:t>
      </w:r>
      <w:r w:rsidR="00182C12" w:rsidRPr="00981A00">
        <w:t xml:space="preserve"> </w:t>
      </w:r>
      <w:r w:rsidRPr="00981A00">
        <w:t>which was implemented by PCBS in 2017 (the enumeration area is a geographical area contains number of households of about 150 households  in average).The enumeration areas will be used as primary sampling units  in sampling design (PSUs).</w:t>
      </w:r>
    </w:p>
    <w:p w:rsidR="00E5781C" w:rsidRPr="00120BA0" w:rsidRDefault="00E5781C" w:rsidP="00150439">
      <w:pPr>
        <w:bidi w:val="0"/>
        <w:rPr>
          <w:b/>
          <w:bCs/>
          <w:sz w:val="20"/>
          <w:szCs w:val="20"/>
          <w:u w:val="single"/>
          <w:rtl/>
        </w:rPr>
      </w:pPr>
    </w:p>
    <w:p w:rsidR="00E5781C" w:rsidRPr="00981A00" w:rsidRDefault="004F7874" w:rsidP="00150439">
      <w:pPr>
        <w:bidi w:val="0"/>
        <w:rPr>
          <w:b/>
          <w:bCs/>
        </w:rPr>
      </w:pPr>
      <w:r w:rsidRPr="00981A00">
        <w:rPr>
          <w:b/>
          <w:bCs/>
          <w:lang w:eastAsia="en-US"/>
        </w:rPr>
        <w:t>3.3.1.3</w:t>
      </w:r>
      <w:r w:rsidR="00E5781C" w:rsidRPr="00981A00">
        <w:rPr>
          <w:b/>
          <w:bCs/>
          <w:rtl/>
          <w:lang w:eastAsia="en-US"/>
        </w:rPr>
        <w:t xml:space="preserve">  </w:t>
      </w:r>
      <w:r w:rsidR="00E5781C" w:rsidRPr="00981A00">
        <w:rPr>
          <w:b/>
          <w:bCs/>
        </w:rPr>
        <w:t xml:space="preserve">Sample Size </w:t>
      </w:r>
    </w:p>
    <w:p w:rsidR="00E5781C" w:rsidRPr="00981A00" w:rsidRDefault="00E5781C" w:rsidP="00150439">
      <w:pPr>
        <w:bidi w:val="0"/>
        <w:rPr>
          <w:rtl/>
        </w:rPr>
      </w:pPr>
      <w:r w:rsidRPr="00981A00">
        <w:t>13</w:t>
      </w:r>
      <w:r w:rsidR="00AC265D" w:rsidRPr="00981A00">
        <w:t>,</w:t>
      </w:r>
      <w:r w:rsidRPr="00981A00">
        <w:t>866  households were reached at the total level,</w:t>
      </w:r>
      <w:r w:rsidR="00051D9C" w:rsidRPr="00981A00">
        <w:t xml:space="preserve"> where</w:t>
      </w:r>
      <w:r w:rsidRPr="00981A00">
        <w:t xml:space="preserve"> 11</w:t>
      </w:r>
      <w:r w:rsidR="00AC265D" w:rsidRPr="00981A00">
        <w:t>,</w:t>
      </w:r>
      <w:r w:rsidRPr="00981A00">
        <w:t>602 households responded .</w:t>
      </w:r>
    </w:p>
    <w:p w:rsidR="005569F9" w:rsidRPr="00120BA0" w:rsidRDefault="005569F9" w:rsidP="00150439">
      <w:pPr>
        <w:bidi w:val="0"/>
        <w:rPr>
          <w:sz w:val="20"/>
          <w:szCs w:val="20"/>
        </w:rPr>
      </w:pPr>
    </w:p>
    <w:p w:rsidR="00E5781C" w:rsidRPr="00981A00" w:rsidRDefault="004F7874" w:rsidP="00150439">
      <w:pPr>
        <w:bidi w:val="0"/>
        <w:rPr>
          <w:b/>
          <w:bCs/>
          <w:lang w:bidi="ar-JO"/>
        </w:rPr>
      </w:pPr>
      <w:r w:rsidRPr="00981A00">
        <w:rPr>
          <w:b/>
          <w:bCs/>
          <w:rtl/>
          <w:lang w:eastAsia="en-US"/>
        </w:rPr>
        <w:t>3.3.1.4</w:t>
      </w:r>
      <w:r w:rsidRPr="00981A00">
        <w:rPr>
          <w:b/>
          <w:bCs/>
          <w:sz w:val="28"/>
          <w:lang w:bidi="ar-JO"/>
        </w:rPr>
        <w:t xml:space="preserve"> </w:t>
      </w:r>
      <w:r w:rsidR="00E5781C" w:rsidRPr="00981A00">
        <w:rPr>
          <w:b/>
          <w:bCs/>
          <w:lang w:bidi="ar-JO"/>
        </w:rPr>
        <w:t>Sample Design</w:t>
      </w:r>
    </w:p>
    <w:p w:rsidR="00E5781C" w:rsidRPr="00981A00" w:rsidRDefault="00E5781C" w:rsidP="00150439">
      <w:pPr>
        <w:bidi w:val="0"/>
        <w:rPr>
          <w:rtl/>
        </w:rPr>
      </w:pPr>
      <w:r w:rsidRPr="00981A00">
        <w:t xml:space="preserve">Three stages stratified cluster systematic random sample </w:t>
      </w:r>
      <w:r w:rsidRPr="00981A00">
        <w:rPr>
          <w:lang w:bidi="ar-JO"/>
        </w:rPr>
        <w:t>as following</w:t>
      </w:r>
      <w:r w:rsidRPr="00981A00">
        <w:t>:</w:t>
      </w:r>
    </w:p>
    <w:p w:rsidR="005569F9" w:rsidRPr="00981A00" w:rsidRDefault="00051D9C" w:rsidP="004568FF">
      <w:pPr>
        <w:bidi w:val="0"/>
        <w:spacing w:line="276" w:lineRule="auto"/>
        <w:rPr>
          <w:b/>
          <w:bCs/>
          <w:lang w:bidi="ar-JO"/>
        </w:rPr>
      </w:pPr>
      <w:r w:rsidRPr="00981A00">
        <w:rPr>
          <w:b/>
          <w:bCs/>
        </w:rPr>
        <w:t xml:space="preserve">Stage </w:t>
      </w:r>
      <w:r w:rsidR="00E5781C" w:rsidRPr="00981A00">
        <w:rPr>
          <w:b/>
          <w:bCs/>
        </w:rPr>
        <w:t>I</w:t>
      </w:r>
      <w:r w:rsidR="00E5781C" w:rsidRPr="00981A00">
        <w:t xml:space="preserve">. </w:t>
      </w:r>
      <w:r w:rsidR="00E5781C" w:rsidRPr="00981A00">
        <w:rPr>
          <w:lang w:bidi="ar-JO"/>
        </w:rPr>
        <w:t>selecting systematic sample of 500 enumeration areas.</w:t>
      </w:r>
    </w:p>
    <w:p w:rsidR="005569F9" w:rsidRDefault="00051D9C" w:rsidP="00150439">
      <w:pPr>
        <w:bidi w:val="0"/>
        <w:spacing w:line="276" w:lineRule="auto"/>
        <w:jc w:val="both"/>
        <w:rPr>
          <w:lang w:bidi="ar-JO"/>
        </w:rPr>
      </w:pPr>
      <w:r w:rsidRPr="00981A00">
        <w:rPr>
          <w:b/>
          <w:bCs/>
        </w:rPr>
        <w:t xml:space="preserve">Stage </w:t>
      </w:r>
      <w:r w:rsidR="00E5781C" w:rsidRPr="00981A00">
        <w:rPr>
          <w:b/>
          <w:bCs/>
        </w:rPr>
        <w:t>II.</w:t>
      </w:r>
      <w:r w:rsidR="00E5781C" w:rsidRPr="00981A00">
        <w:t xml:space="preserve"> </w:t>
      </w:r>
      <w:r w:rsidR="00E5781C" w:rsidRPr="00981A00">
        <w:rPr>
          <w:lang w:bidi="ar-JO"/>
        </w:rPr>
        <w:t>selecti</w:t>
      </w:r>
      <w:r w:rsidRPr="00981A00">
        <w:rPr>
          <w:lang w:bidi="ar-JO"/>
        </w:rPr>
        <w:t>ng</w:t>
      </w:r>
      <w:r w:rsidR="00E5781C" w:rsidRPr="00981A00">
        <w:rPr>
          <w:lang w:bidi="ar-JO"/>
        </w:rPr>
        <w:t xml:space="preserve"> </w:t>
      </w:r>
      <w:r w:rsidR="00E5781C" w:rsidRPr="002D1552">
        <w:rPr>
          <w:lang w:bidi="ar-JO"/>
        </w:rPr>
        <w:t>sample of 26 households</w:t>
      </w:r>
      <w:r w:rsidR="00E5781C" w:rsidRPr="00981A00">
        <w:rPr>
          <w:lang w:bidi="ar-JO"/>
        </w:rPr>
        <w:t xml:space="preserve"> from each </w:t>
      </w:r>
      <w:r w:rsidRPr="00981A00">
        <w:rPr>
          <w:lang w:bidi="ar-JO"/>
        </w:rPr>
        <w:t>enumeration areas</w:t>
      </w:r>
      <w:r w:rsidR="00AC265D" w:rsidRPr="00981A00">
        <w:rPr>
          <w:lang w:bidi="ar-JO"/>
        </w:rPr>
        <w:t xml:space="preserve"> selected in the first stage, where lists of households were attached to fieldworker heads.</w:t>
      </w:r>
    </w:p>
    <w:p w:rsidR="00E5781C" w:rsidRDefault="00051D9C" w:rsidP="00150439">
      <w:pPr>
        <w:bidi w:val="0"/>
        <w:spacing w:line="276" w:lineRule="auto"/>
        <w:jc w:val="both"/>
      </w:pPr>
      <w:r w:rsidRPr="00981A00">
        <w:rPr>
          <w:b/>
          <w:bCs/>
        </w:rPr>
        <w:t xml:space="preserve">Stage </w:t>
      </w:r>
      <w:r w:rsidR="00E5781C" w:rsidRPr="00981A00">
        <w:rPr>
          <w:b/>
          <w:bCs/>
        </w:rPr>
        <w:t>III.</w:t>
      </w:r>
      <w:r w:rsidRPr="00981A00">
        <w:t xml:space="preserve"> </w:t>
      </w:r>
      <w:r w:rsidR="00E5781C" w:rsidRPr="00981A00">
        <w:t>selectin</w:t>
      </w:r>
      <w:r w:rsidRPr="00981A00">
        <w:t>g</w:t>
      </w:r>
      <w:r w:rsidR="00E5781C" w:rsidRPr="00981A00">
        <w:t xml:space="preserve"> </w:t>
      </w:r>
      <w:r w:rsidR="00DA7DF6">
        <w:t>persons</w:t>
      </w:r>
      <w:r w:rsidR="00E5781C" w:rsidRPr="00981A00">
        <w:t xml:space="preserve"> male or female</w:t>
      </w:r>
      <w:r w:rsidR="008C3A0A" w:rsidRPr="00981A00">
        <w:t xml:space="preserve"> </w:t>
      </w:r>
      <w:r w:rsidR="00E5781C" w:rsidRPr="00981A00">
        <w:t xml:space="preserve">(18 years and </w:t>
      </w:r>
      <w:r w:rsidRPr="00981A00">
        <w:t>above</w:t>
      </w:r>
      <w:r w:rsidR="00E5781C" w:rsidRPr="00981A00">
        <w:t xml:space="preserve">) from each household selected in second stage using random </w:t>
      </w:r>
      <w:r w:rsidRPr="00981A00">
        <w:t>Kish</w:t>
      </w:r>
      <w:r w:rsidR="00E5781C" w:rsidRPr="00981A00">
        <w:t xml:space="preserve"> tables of households that have more than one individual from this age group.</w:t>
      </w:r>
    </w:p>
    <w:p w:rsidR="00E5781C" w:rsidRPr="00981A00" w:rsidRDefault="008B1041" w:rsidP="00150439">
      <w:pPr>
        <w:bidi w:val="0"/>
        <w:rPr>
          <w:b/>
          <w:bCs/>
        </w:rPr>
      </w:pPr>
      <w:r w:rsidRPr="00981A00">
        <w:rPr>
          <w:b/>
          <w:bCs/>
          <w:lang w:eastAsia="en-US"/>
        </w:rPr>
        <w:lastRenderedPageBreak/>
        <w:t>3.3.1.5</w:t>
      </w:r>
      <w:r w:rsidR="00E5781C" w:rsidRPr="00981A00">
        <w:rPr>
          <w:b/>
          <w:bCs/>
          <w:rtl/>
          <w:lang w:eastAsia="en-US"/>
        </w:rPr>
        <w:t xml:space="preserve">  </w:t>
      </w:r>
      <w:r w:rsidR="00E5781C" w:rsidRPr="00981A00">
        <w:rPr>
          <w:b/>
          <w:bCs/>
        </w:rPr>
        <w:t xml:space="preserve">Sample </w:t>
      </w:r>
      <w:r w:rsidR="00182C12" w:rsidRPr="00981A00">
        <w:rPr>
          <w:b/>
          <w:bCs/>
        </w:rPr>
        <w:t>Strata</w:t>
      </w:r>
      <w:r w:rsidR="00E5781C" w:rsidRPr="00981A00">
        <w:rPr>
          <w:b/>
          <w:bCs/>
        </w:rPr>
        <w:t xml:space="preserve"> </w:t>
      </w:r>
    </w:p>
    <w:p w:rsidR="00E5781C" w:rsidRPr="00981A00" w:rsidRDefault="00E5781C" w:rsidP="00150439">
      <w:pPr>
        <w:autoSpaceDE w:val="0"/>
        <w:autoSpaceDN w:val="0"/>
        <w:bidi w:val="0"/>
        <w:adjustRightInd w:val="0"/>
      </w:pPr>
      <w:r w:rsidRPr="00981A00">
        <w:t>The population was divided to strata by:</w:t>
      </w:r>
    </w:p>
    <w:p w:rsidR="00E5781C" w:rsidRPr="00981A00" w:rsidRDefault="00E5781C" w:rsidP="00120BA0">
      <w:pPr>
        <w:numPr>
          <w:ilvl w:val="0"/>
          <w:numId w:val="17"/>
        </w:numPr>
        <w:tabs>
          <w:tab w:val="clear" w:pos="720"/>
        </w:tabs>
        <w:bidi w:val="0"/>
        <w:ind w:left="426" w:right="1" w:hanging="284"/>
        <w:jc w:val="both"/>
      </w:pPr>
      <w:r w:rsidRPr="00981A00">
        <w:t>Governorate (16 Governorate</w:t>
      </w:r>
      <w:r w:rsidR="00B31DB0" w:rsidRPr="00981A00">
        <w:t>s</w:t>
      </w:r>
      <w:r w:rsidRPr="00981A00">
        <w:t xml:space="preserve"> in </w:t>
      </w:r>
      <w:r w:rsidR="00B31DB0" w:rsidRPr="00981A00">
        <w:t>the West Bank</w:t>
      </w:r>
      <w:r w:rsidR="00584BD7" w:rsidRPr="00981A00">
        <w:t xml:space="preserve"> </w:t>
      </w:r>
      <w:r w:rsidRPr="00981A00">
        <w:t xml:space="preserve">includes those parts of Jerusalem which were annexed by Israeli </w:t>
      </w:r>
      <w:r w:rsidR="00B31DB0" w:rsidRPr="00981A00">
        <w:t>occupation</w:t>
      </w:r>
      <w:r w:rsidRPr="00981A00">
        <w:t xml:space="preserve"> in 1967 as a separated stratum, and the Gaza Strip).</w:t>
      </w:r>
    </w:p>
    <w:p w:rsidR="00E5781C" w:rsidRPr="00981A00" w:rsidRDefault="00E5781C" w:rsidP="00120BA0">
      <w:pPr>
        <w:numPr>
          <w:ilvl w:val="0"/>
          <w:numId w:val="17"/>
        </w:numPr>
        <w:tabs>
          <w:tab w:val="clear" w:pos="720"/>
        </w:tabs>
        <w:bidi w:val="0"/>
        <w:ind w:left="426" w:right="360" w:hanging="284"/>
      </w:pPr>
      <w:r w:rsidRPr="00981A00">
        <w:t>Locality type (urban, rural, camp).</w:t>
      </w:r>
    </w:p>
    <w:p w:rsidR="00E5781C" w:rsidRPr="00981A00" w:rsidRDefault="00E5781C" w:rsidP="00150439">
      <w:pPr>
        <w:tabs>
          <w:tab w:val="num" w:pos="142"/>
        </w:tabs>
        <w:bidi w:val="0"/>
        <w:ind w:left="284" w:hanging="142"/>
        <w:rPr>
          <w:b/>
          <w:bCs/>
          <w:sz w:val="18"/>
          <w:szCs w:val="18"/>
          <w:rtl/>
          <w:lang w:eastAsia="en-US"/>
        </w:rPr>
      </w:pPr>
    </w:p>
    <w:p w:rsidR="00E5781C" w:rsidRPr="00981A00" w:rsidRDefault="008B1041" w:rsidP="00150439">
      <w:pPr>
        <w:bidi w:val="0"/>
        <w:rPr>
          <w:b/>
          <w:bCs/>
          <w:rtl/>
        </w:rPr>
      </w:pPr>
      <w:bookmarkStart w:id="4" w:name="OLE_LINK1"/>
      <w:bookmarkStart w:id="5" w:name="OLE_LINK2"/>
      <w:r w:rsidRPr="00981A00">
        <w:rPr>
          <w:b/>
          <w:bCs/>
          <w:lang w:eastAsia="en-US"/>
        </w:rPr>
        <w:t xml:space="preserve">3.3.1.6 </w:t>
      </w:r>
      <w:r w:rsidR="00E5781C" w:rsidRPr="00981A00">
        <w:rPr>
          <w:b/>
          <w:bCs/>
        </w:rPr>
        <w:t xml:space="preserve"> Domains:</w:t>
      </w:r>
    </w:p>
    <w:p w:rsidR="00E5781C" w:rsidRPr="00981A00" w:rsidRDefault="00E5781C" w:rsidP="00120BA0">
      <w:pPr>
        <w:numPr>
          <w:ilvl w:val="0"/>
          <w:numId w:val="18"/>
        </w:numPr>
        <w:tabs>
          <w:tab w:val="clear" w:pos="644"/>
        </w:tabs>
        <w:bidi w:val="0"/>
        <w:ind w:left="426" w:right="360" w:hanging="284"/>
      </w:pPr>
      <w:r w:rsidRPr="00981A00">
        <w:t>National level: State of Palestine.</w:t>
      </w:r>
    </w:p>
    <w:p w:rsidR="00E5781C" w:rsidRPr="00981A00" w:rsidRDefault="00E5781C" w:rsidP="00120BA0">
      <w:pPr>
        <w:numPr>
          <w:ilvl w:val="0"/>
          <w:numId w:val="18"/>
        </w:numPr>
        <w:tabs>
          <w:tab w:val="clear" w:pos="644"/>
        </w:tabs>
        <w:bidi w:val="0"/>
        <w:ind w:left="426" w:right="360" w:hanging="284"/>
      </w:pPr>
      <w:r w:rsidRPr="00981A00">
        <w:t>Region level: (</w:t>
      </w:r>
      <w:r w:rsidR="00B31DB0" w:rsidRPr="00981A00">
        <w:t xml:space="preserve">the </w:t>
      </w:r>
      <w:r w:rsidRPr="00981A00">
        <w:t>West Bank, and Gaza Strip).</w:t>
      </w:r>
    </w:p>
    <w:p w:rsidR="00E5781C" w:rsidRPr="00981A00" w:rsidRDefault="00E5781C" w:rsidP="0051549F">
      <w:pPr>
        <w:numPr>
          <w:ilvl w:val="0"/>
          <w:numId w:val="18"/>
        </w:numPr>
        <w:tabs>
          <w:tab w:val="clear" w:pos="644"/>
        </w:tabs>
        <w:bidi w:val="0"/>
        <w:ind w:left="426" w:right="1" w:hanging="284"/>
      </w:pPr>
      <w:r w:rsidRPr="00981A00">
        <w:t>Governorate (16 Governorate</w:t>
      </w:r>
      <w:r w:rsidR="00B31DB0" w:rsidRPr="00981A00">
        <w:t>s</w:t>
      </w:r>
      <w:r w:rsidRPr="00981A00">
        <w:t>)</w:t>
      </w:r>
    </w:p>
    <w:p w:rsidR="00E5781C" w:rsidRPr="00981A00" w:rsidRDefault="00E5781C" w:rsidP="00DC65F2">
      <w:pPr>
        <w:tabs>
          <w:tab w:val="num" w:pos="709"/>
          <w:tab w:val="right" w:pos="1134"/>
        </w:tabs>
        <w:bidi w:val="0"/>
        <w:ind w:left="426" w:right="360"/>
        <w:rPr>
          <w:sz w:val="18"/>
          <w:szCs w:val="18"/>
        </w:rPr>
      </w:pPr>
    </w:p>
    <w:bookmarkEnd w:id="4"/>
    <w:bookmarkEnd w:id="5"/>
    <w:p w:rsidR="00E5781C" w:rsidRPr="00981A00" w:rsidRDefault="008B1041" w:rsidP="00150439">
      <w:pPr>
        <w:bidi w:val="0"/>
        <w:rPr>
          <w:b/>
          <w:bCs/>
        </w:rPr>
      </w:pPr>
      <w:r w:rsidRPr="00981A00">
        <w:rPr>
          <w:b/>
          <w:bCs/>
          <w:lang w:eastAsia="en-US"/>
        </w:rPr>
        <w:t>3.3.1.7</w:t>
      </w:r>
      <w:r w:rsidR="00E5781C" w:rsidRPr="00981A00">
        <w:rPr>
          <w:b/>
          <w:bCs/>
          <w:rtl/>
          <w:lang w:eastAsia="en-US"/>
        </w:rPr>
        <w:t xml:space="preserve"> </w:t>
      </w:r>
      <w:r w:rsidR="00E5781C" w:rsidRPr="00981A00">
        <w:rPr>
          <w:b/>
          <w:bCs/>
        </w:rPr>
        <w:t xml:space="preserve">The calculations of weights </w:t>
      </w:r>
    </w:p>
    <w:p w:rsidR="00E5781C" w:rsidRPr="00981A00" w:rsidRDefault="00E5781C" w:rsidP="00150439">
      <w:pPr>
        <w:bidi w:val="0"/>
        <w:jc w:val="both"/>
      </w:pPr>
      <w:r w:rsidRPr="00981A00">
        <w:t xml:space="preserve">The weight of statistical units (sampling units) in the sample is defined as the mathematical inverse of the selection probability where the sample of the survey is a three-stage stratified cluster sample. Thus, in the first stage we calculate the weight of enumeration areas  depending on the probability of each enumeration area (a systematic random sample). In the second stage we calculate the weight of households in each enumeration area. Initial household weights resulted from the product of the weight of the first stage and the weight of the second stage. Final household weights were obtained after adjustment of initial weights with the household estimates of </w:t>
      </w:r>
      <w:r w:rsidRPr="00981A00">
        <w:rPr>
          <w:rStyle w:val="shorttext"/>
        </w:rPr>
        <w:t xml:space="preserve">the middle of </w:t>
      </w:r>
      <w:r w:rsidRPr="00981A00">
        <w:rPr>
          <w:rStyle w:val="hps"/>
        </w:rPr>
        <w:t>2018</w:t>
      </w:r>
      <w:r w:rsidRPr="00981A00">
        <w:t xml:space="preserve"> with regard to design strata (governorate, locality type).   </w:t>
      </w:r>
    </w:p>
    <w:p w:rsidR="00E5781C" w:rsidRPr="00981A00" w:rsidRDefault="00E5781C" w:rsidP="00150439">
      <w:pPr>
        <w:bidi w:val="0"/>
        <w:rPr>
          <w:sz w:val="18"/>
          <w:szCs w:val="18"/>
        </w:rPr>
      </w:pPr>
    </w:p>
    <w:p w:rsidR="00AC476D" w:rsidRPr="00981A00" w:rsidRDefault="00E5781C" w:rsidP="00150439">
      <w:pPr>
        <w:bidi w:val="0"/>
        <w:jc w:val="both"/>
      </w:pPr>
      <w:r w:rsidRPr="00981A00">
        <w:t xml:space="preserve">In the third stage </w:t>
      </w:r>
      <w:r w:rsidR="00B31DB0" w:rsidRPr="00981A00">
        <w:t>initial</w:t>
      </w:r>
      <w:r w:rsidRPr="00981A00">
        <w:t xml:space="preserve"> </w:t>
      </w:r>
      <w:r w:rsidR="00DA7DF6">
        <w:t>persons</w:t>
      </w:r>
      <w:r w:rsidRPr="00981A00">
        <w:t xml:space="preserve"> weights resulted from the product of </w:t>
      </w:r>
      <w:r w:rsidR="00B31DB0" w:rsidRPr="00981A00">
        <w:t xml:space="preserve">the final </w:t>
      </w:r>
      <w:r w:rsidRPr="00981A00">
        <w:t xml:space="preserve">household weights and number of </w:t>
      </w:r>
      <w:r w:rsidR="00DA7DF6">
        <w:t>persons</w:t>
      </w:r>
      <w:r w:rsidRPr="00981A00">
        <w:t xml:space="preserve"> 18 year and </w:t>
      </w:r>
      <w:r w:rsidR="00B31DB0" w:rsidRPr="00981A00">
        <w:t>above</w:t>
      </w:r>
      <w:r w:rsidRPr="00981A00">
        <w:t xml:space="preserve"> in this household then the initial individual weight is adjusted to the population estimates </w:t>
      </w:r>
      <w:r w:rsidRPr="00981A00">
        <w:rPr>
          <w:rStyle w:val="shorttext"/>
        </w:rPr>
        <w:t>15/10/2018,</w:t>
      </w:r>
      <w:r w:rsidRPr="00981A00">
        <w:t xml:space="preserve"> according to region (West Bank, </w:t>
      </w:r>
      <w:r w:rsidR="00B31DB0" w:rsidRPr="00981A00">
        <w:t xml:space="preserve">and </w:t>
      </w:r>
      <w:r w:rsidRPr="00981A00">
        <w:t xml:space="preserve">Gaza Strip), sex ( male, </w:t>
      </w:r>
      <w:r w:rsidR="00B31DB0" w:rsidRPr="00981A00">
        <w:t xml:space="preserve">and </w:t>
      </w:r>
      <w:r w:rsidRPr="00981A00">
        <w:t>female), age groups (10 groups), then we obtained the final adjusted individual weight</w:t>
      </w:r>
      <w:r w:rsidR="00B31DB0" w:rsidRPr="00981A00">
        <w:t>.</w:t>
      </w:r>
      <w:r w:rsidRPr="00981A00">
        <w:t xml:space="preserve"> </w:t>
      </w:r>
    </w:p>
    <w:p w:rsidR="00AC476D" w:rsidRPr="00981A00" w:rsidRDefault="00AC476D" w:rsidP="00150439">
      <w:pPr>
        <w:bidi w:val="0"/>
        <w:jc w:val="both"/>
        <w:rPr>
          <w:sz w:val="18"/>
          <w:szCs w:val="18"/>
        </w:rPr>
      </w:pPr>
    </w:p>
    <w:p w:rsidR="00765148" w:rsidRPr="00981A00" w:rsidRDefault="00765148" w:rsidP="00150439">
      <w:pPr>
        <w:bidi w:val="0"/>
        <w:rPr>
          <w:b/>
          <w:bCs/>
        </w:rPr>
      </w:pPr>
      <w:r w:rsidRPr="00981A00">
        <w:rPr>
          <w:b/>
          <w:bCs/>
          <w:lang w:eastAsia="en-US"/>
        </w:rPr>
        <w:t xml:space="preserve">3.3.2 Survey </w:t>
      </w:r>
      <w:r w:rsidR="008B1041" w:rsidRPr="00981A00">
        <w:rPr>
          <w:b/>
          <w:bCs/>
          <w:lang w:eastAsia="en-US"/>
        </w:rPr>
        <w:t xml:space="preserve">of Judges, Shari'a Judges and </w:t>
      </w:r>
      <w:r w:rsidRPr="00981A00">
        <w:rPr>
          <w:b/>
          <w:bCs/>
          <w:lang w:eastAsia="en-US"/>
        </w:rPr>
        <w:t xml:space="preserve">Prosecution </w:t>
      </w:r>
      <w:r w:rsidR="008B1041" w:rsidRPr="00981A00">
        <w:rPr>
          <w:b/>
          <w:bCs/>
          <w:lang w:eastAsia="en-US"/>
        </w:rPr>
        <w:t xml:space="preserve">Members </w:t>
      </w:r>
    </w:p>
    <w:p w:rsidR="00AE4381" w:rsidRPr="00981A00" w:rsidRDefault="00AE4381" w:rsidP="00AE4381">
      <w:pPr>
        <w:bidi w:val="0"/>
        <w:rPr>
          <w:b/>
          <w:bCs/>
          <w:sz w:val="18"/>
          <w:szCs w:val="18"/>
        </w:rPr>
      </w:pPr>
    </w:p>
    <w:p w:rsidR="00E5781C" w:rsidRPr="00981A00" w:rsidRDefault="000F6A8E" w:rsidP="00150439">
      <w:pPr>
        <w:bidi w:val="0"/>
        <w:rPr>
          <w:b/>
          <w:bCs/>
          <w:rtl/>
          <w:lang w:eastAsia="en-US"/>
        </w:rPr>
      </w:pPr>
      <w:r w:rsidRPr="00981A00">
        <w:rPr>
          <w:b/>
          <w:bCs/>
          <w:lang w:eastAsia="en-US"/>
        </w:rPr>
        <w:t>3.3.2.1</w:t>
      </w:r>
      <w:r w:rsidR="00584BD7" w:rsidRPr="00981A00">
        <w:rPr>
          <w:b/>
          <w:bCs/>
          <w:lang w:eastAsia="en-US"/>
        </w:rPr>
        <w:t xml:space="preserve"> </w:t>
      </w:r>
      <w:r w:rsidR="00E5781C" w:rsidRPr="00981A00">
        <w:rPr>
          <w:b/>
          <w:bCs/>
        </w:rPr>
        <w:t>Targeted population</w:t>
      </w:r>
    </w:p>
    <w:p w:rsidR="003F2647" w:rsidRPr="00981A00" w:rsidRDefault="003F2647" w:rsidP="00150439">
      <w:pPr>
        <w:bidi w:val="0"/>
        <w:rPr>
          <w:lang w:eastAsia="en-US"/>
        </w:rPr>
      </w:pPr>
      <w:r w:rsidRPr="00981A00">
        <w:rPr>
          <w:lang w:eastAsia="en-US"/>
        </w:rPr>
        <w:t>The targeted population consists of all regular and shari'a judges, prosecutors, in all of the regular and shari'a courts</w:t>
      </w:r>
      <w:r w:rsidRPr="00981A00">
        <w:t xml:space="preserve">, </w:t>
      </w:r>
      <w:r w:rsidRPr="00981A00">
        <w:rPr>
          <w:lang w:eastAsia="en-US"/>
        </w:rPr>
        <w:t>and public prosecutors in Palestine during the period of  the survey implementation.</w:t>
      </w:r>
    </w:p>
    <w:p w:rsidR="00AC476D" w:rsidRPr="00981A00" w:rsidRDefault="00AC476D" w:rsidP="00150439">
      <w:pPr>
        <w:bidi w:val="0"/>
        <w:rPr>
          <w:b/>
          <w:bCs/>
          <w:sz w:val="18"/>
          <w:szCs w:val="18"/>
          <w:lang w:eastAsia="en-US"/>
        </w:rPr>
      </w:pPr>
    </w:p>
    <w:p w:rsidR="00E5781C" w:rsidRPr="00981A00" w:rsidRDefault="000F6A8E" w:rsidP="00150439">
      <w:pPr>
        <w:bidi w:val="0"/>
        <w:rPr>
          <w:rtl/>
        </w:rPr>
      </w:pPr>
      <w:r w:rsidRPr="00981A00">
        <w:rPr>
          <w:b/>
          <w:bCs/>
          <w:lang w:eastAsia="en-US"/>
        </w:rPr>
        <w:t>3.3.2.2</w:t>
      </w:r>
      <w:r w:rsidR="00584BD7" w:rsidRPr="00981A00">
        <w:t xml:space="preserve"> </w:t>
      </w:r>
      <w:r w:rsidR="00E5781C" w:rsidRPr="00981A00">
        <w:rPr>
          <w:b/>
          <w:bCs/>
        </w:rPr>
        <w:t>Sample frame</w:t>
      </w:r>
    </w:p>
    <w:p w:rsidR="003F2647" w:rsidRPr="00981A00" w:rsidRDefault="003F2647" w:rsidP="00150439">
      <w:pPr>
        <w:bidi w:val="0"/>
        <w:rPr>
          <w:rtl/>
          <w:lang w:eastAsia="en-US"/>
        </w:rPr>
      </w:pPr>
      <w:r w:rsidRPr="00981A00">
        <w:t>A list of all the regular and shari'a courts and public prosecution in Palestine during the survey implementation period</w:t>
      </w:r>
      <w:r w:rsidRPr="00981A00">
        <w:rPr>
          <w:rtl/>
          <w:lang w:eastAsia="en-US"/>
        </w:rPr>
        <w:t>.</w:t>
      </w:r>
    </w:p>
    <w:p w:rsidR="00AC476D" w:rsidRPr="00981A00" w:rsidRDefault="00E5781C" w:rsidP="00150439">
      <w:pPr>
        <w:bidi w:val="0"/>
        <w:rPr>
          <w:sz w:val="18"/>
          <w:szCs w:val="18"/>
          <w:lang w:eastAsia="en-US"/>
        </w:rPr>
      </w:pPr>
      <w:r w:rsidRPr="00981A00">
        <w:rPr>
          <w:sz w:val="18"/>
          <w:szCs w:val="18"/>
          <w:rtl/>
          <w:lang w:eastAsia="en-US"/>
        </w:rPr>
        <w:t xml:space="preserve"> </w:t>
      </w:r>
    </w:p>
    <w:p w:rsidR="00E5781C" w:rsidRPr="00981A00" w:rsidRDefault="000F6A8E" w:rsidP="00150439">
      <w:pPr>
        <w:bidi w:val="0"/>
        <w:rPr>
          <w:rtl/>
          <w:lang w:eastAsia="en-US"/>
        </w:rPr>
      </w:pPr>
      <w:r w:rsidRPr="00981A00">
        <w:rPr>
          <w:b/>
          <w:bCs/>
          <w:lang w:eastAsia="en-US"/>
        </w:rPr>
        <w:t>3.3.2.3</w:t>
      </w:r>
      <w:r w:rsidR="00584BD7" w:rsidRPr="00981A00">
        <w:rPr>
          <w:b/>
          <w:bCs/>
          <w:lang w:eastAsia="en-US"/>
        </w:rPr>
        <w:t xml:space="preserve"> </w:t>
      </w:r>
      <w:r w:rsidR="00E5781C" w:rsidRPr="00981A00">
        <w:rPr>
          <w:b/>
          <w:bCs/>
        </w:rPr>
        <w:t>Sample Design</w:t>
      </w:r>
    </w:p>
    <w:p w:rsidR="00150439" w:rsidRPr="00981A00" w:rsidRDefault="003F2647" w:rsidP="00150439">
      <w:pPr>
        <w:bidi w:val="0"/>
      </w:pPr>
      <w:r w:rsidRPr="00981A00">
        <w:t xml:space="preserve">A comprehensive inventory of all the regular and shari'a judges, prosecutors in all regular courts, and public prosecution offices in Palestine. The weights were calculated for the regular </w:t>
      </w:r>
    </w:p>
    <w:p w:rsidR="00E5781C" w:rsidRPr="00981A00" w:rsidRDefault="003F2647" w:rsidP="00150439">
      <w:pPr>
        <w:bidi w:val="0"/>
        <w:rPr>
          <w:lang w:eastAsia="en-US"/>
        </w:rPr>
      </w:pPr>
      <w:r w:rsidRPr="00981A00">
        <w:t>and shari'a judges, and prosecutors in order to compensate for the non-response cases</w:t>
      </w:r>
      <w:r w:rsidRPr="00981A00">
        <w:rPr>
          <w:lang w:eastAsia="en-US"/>
        </w:rPr>
        <w:t>.</w:t>
      </w:r>
    </w:p>
    <w:p w:rsidR="00150439" w:rsidRPr="00981A00" w:rsidRDefault="00150439" w:rsidP="00150439">
      <w:pPr>
        <w:bidi w:val="0"/>
        <w:rPr>
          <w:sz w:val="18"/>
          <w:szCs w:val="18"/>
          <w:lang w:eastAsia="en-US"/>
        </w:rPr>
      </w:pPr>
    </w:p>
    <w:p w:rsidR="00E5781C" w:rsidRPr="00981A00" w:rsidRDefault="000F6A8E" w:rsidP="00150439">
      <w:pPr>
        <w:bidi w:val="0"/>
        <w:rPr>
          <w:b/>
          <w:bCs/>
          <w:rtl/>
          <w:lang w:eastAsia="en-US"/>
        </w:rPr>
      </w:pPr>
      <w:r w:rsidRPr="00981A00">
        <w:rPr>
          <w:b/>
          <w:bCs/>
          <w:lang w:eastAsia="en-US"/>
        </w:rPr>
        <w:t xml:space="preserve">3.3.2.4 </w:t>
      </w:r>
      <w:r w:rsidR="00E5781C" w:rsidRPr="00981A00">
        <w:rPr>
          <w:b/>
          <w:bCs/>
        </w:rPr>
        <w:t>Domains</w:t>
      </w:r>
    </w:p>
    <w:p w:rsidR="00E5781C" w:rsidRPr="00981A00" w:rsidRDefault="00E5781C" w:rsidP="00150439">
      <w:pPr>
        <w:tabs>
          <w:tab w:val="right" w:pos="1134"/>
        </w:tabs>
        <w:bidi w:val="0"/>
        <w:ind w:right="360"/>
      </w:pPr>
      <w:r w:rsidRPr="00981A00">
        <w:t>National level: State of Palestine.</w:t>
      </w:r>
    </w:p>
    <w:p w:rsidR="00120BA0" w:rsidRDefault="00120BA0">
      <w:pPr>
        <w:bidi w:val="0"/>
        <w:rPr>
          <w:b/>
          <w:bCs/>
          <w:sz w:val="18"/>
          <w:szCs w:val="18"/>
          <w:lang w:eastAsia="en-US"/>
        </w:rPr>
      </w:pPr>
      <w:r>
        <w:rPr>
          <w:b/>
          <w:bCs/>
          <w:sz w:val="18"/>
          <w:szCs w:val="18"/>
          <w:lang w:eastAsia="en-US"/>
        </w:rPr>
        <w:br w:type="page"/>
      </w:r>
    </w:p>
    <w:p w:rsidR="009F5A09" w:rsidRPr="00981A00" w:rsidRDefault="009F5A09" w:rsidP="00AE4381">
      <w:pPr>
        <w:bidi w:val="0"/>
        <w:rPr>
          <w:b/>
          <w:bCs/>
          <w:lang w:eastAsia="en-US"/>
        </w:rPr>
      </w:pPr>
      <w:r w:rsidRPr="00981A00">
        <w:rPr>
          <w:b/>
          <w:bCs/>
          <w:lang w:eastAsia="en-US"/>
        </w:rPr>
        <w:lastRenderedPageBreak/>
        <w:t xml:space="preserve">3.3.3  Survey of </w:t>
      </w:r>
      <w:r w:rsidR="005623CF" w:rsidRPr="00981A00">
        <w:rPr>
          <w:b/>
          <w:bCs/>
          <w:lang w:eastAsia="en-US"/>
        </w:rPr>
        <w:t>Practicing Lawyers and Trainees</w:t>
      </w:r>
    </w:p>
    <w:p w:rsidR="00120BA0" w:rsidRDefault="00120BA0">
      <w:pPr>
        <w:bidi w:val="0"/>
        <w:rPr>
          <w:sz w:val="16"/>
          <w:szCs w:val="16"/>
        </w:rPr>
      </w:pPr>
    </w:p>
    <w:p w:rsidR="00B560D1" w:rsidRPr="00981A00" w:rsidRDefault="00B560D1" w:rsidP="00150439">
      <w:pPr>
        <w:bidi w:val="0"/>
        <w:rPr>
          <w:b/>
          <w:bCs/>
          <w:rtl/>
          <w:lang w:eastAsia="en-US"/>
        </w:rPr>
      </w:pPr>
      <w:r w:rsidRPr="00981A00">
        <w:rPr>
          <w:b/>
          <w:bCs/>
          <w:lang w:eastAsia="en-US"/>
        </w:rPr>
        <w:t>3.3.</w:t>
      </w:r>
      <w:r w:rsidRPr="00981A00">
        <w:rPr>
          <w:b/>
          <w:bCs/>
          <w:rtl/>
          <w:lang w:eastAsia="en-US"/>
        </w:rPr>
        <w:t>3</w:t>
      </w:r>
      <w:r w:rsidRPr="00981A00">
        <w:rPr>
          <w:b/>
          <w:bCs/>
          <w:lang w:eastAsia="en-US"/>
        </w:rPr>
        <w:t>.1</w:t>
      </w:r>
      <w:r w:rsidR="00584BD7" w:rsidRPr="00981A00">
        <w:rPr>
          <w:b/>
          <w:bCs/>
          <w:lang w:eastAsia="en-US"/>
        </w:rPr>
        <w:t xml:space="preserve"> </w:t>
      </w:r>
      <w:r w:rsidRPr="00981A00">
        <w:rPr>
          <w:b/>
          <w:bCs/>
        </w:rPr>
        <w:t>Targeted population</w:t>
      </w:r>
    </w:p>
    <w:p w:rsidR="003F2647" w:rsidRPr="00981A00" w:rsidRDefault="003F2647" w:rsidP="00120BA0">
      <w:pPr>
        <w:pStyle w:val="ListParagraph"/>
        <w:numPr>
          <w:ilvl w:val="0"/>
          <w:numId w:val="35"/>
        </w:numPr>
        <w:bidi w:val="0"/>
        <w:ind w:left="426" w:hanging="284"/>
        <w:contextualSpacing/>
        <w:jc w:val="both"/>
        <w:rPr>
          <w:lang w:eastAsia="en-US"/>
        </w:rPr>
      </w:pPr>
      <w:r w:rsidRPr="00981A00">
        <w:rPr>
          <w:lang w:eastAsia="en-US"/>
        </w:rPr>
        <w:t>All the  lawyers who are practicing</w:t>
      </w:r>
      <w:r w:rsidR="00FD620D">
        <w:rPr>
          <w:lang w:eastAsia="en-US"/>
        </w:rPr>
        <w:t xml:space="preserve"> in Palestine</w:t>
      </w:r>
      <w:r w:rsidRPr="00981A00">
        <w:rPr>
          <w:lang w:eastAsia="en-US"/>
        </w:rPr>
        <w:t xml:space="preserve"> during the survey period.</w:t>
      </w:r>
    </w:p>
    <w:p w:rsidR="003F2647" w:rsidRPr="00981A00" w:rsidRDefault="003F2647" w:rsidP="00120BA0">
      <w:pPr>
        <w:pStyle w:val="ListParagraph"/>
        <w:numPr>
          <w:ilvl w:val="0"/>
          <w:numId w:val="35"/>
        </w:numPr>
        <w:bidi w:val="0"/>
        <w:ind w:left="426" w:hanging="284"/>
        <w:contextualSpacing/>
        <w:jc w:val="both"/>
        <w:rPr>
          <w:lang w:eastAsia="en-US"/>
        </w:rPr>
      </w:pPr>
      <w:r w:rsidRPr="00981A00">
        <w:rPr>
          <w:lang w:eastAsia="en-US"/>
        </w:rPr>
        <w:t>All the lawyers who were trained by practicing lawyers in the West Bank during the survey period.</w:t>
      </w:r>
    </w:p>
    <w:p w:rsidR="00AC476D" w:rsidRPr="00120BA0" w:rsidRDefault="00AC476D" w:rsidP="00150439">
      <w:pPr>
        <w:tabs>
          <w:tab w:val="right" w:pos="284"/>
        </w:tabs>
        <w:bidi w:val="0"/>
        <w:ind w:left="142"/>
        <w:rPr>
          <w:sz w:val="22"/>
          <w:szCs w:val="22"/>
        </w:rPr>
      </w:pPr>
    </w:p>
    <w:p w:rsidR="00B560D1" w:rsidRPr="00981A00" w:rsidRDefault="00B560D1" w:rsidP="00150439">
      <w:pPr>
        <w:bidi w:val="0"/>
        <w:rPr>
          <w:rtl/>
        </w:rPr>
      </w:pPr>
      <w:r w:rsidRPr="00981A00">
        <w:rPr>
          <w:b/>
          <w:bCs/>
          <w:lang w:eastAsia="en-US"/>
        </w:rPr>
        <w:t>3.3.</w:t>
      </w:r>
      <w:r w:rsidRPr="00981A00">
        <w:rPr>
          <w:b/>
          <w:bCs/>
          <w:rtl/>
          <w:lang w:eastAsia="en-US"/>
        </w:rPr>
        <w:t>3</w:t>
      </w:r>
      <w:r w:rsidRPr="00981A00">
        <w:rPr>
          <w:b/>
          <w:bCs/>
          <w:lang w:eastAsia="en-US"/>
        </w:rPr>
        <w:t>.2</w:t>
      </w:r>
      <w:r w:rsidR="00584BD7" w:rsidRPr="00981A00">
        <w:t xml:space="preserve"> </w:t>
      </w:r>
      <w:r w:rsidRPr="00981A00">
        <w:rPr>
          <w:b/>
          <w:bCs/>
        </w:rPr>
        <w:t>Sample frame</w:t>
      </w:r>
    </w:p>
    <w:p w:rsidR="003F2647" w:rsidRPr="00981A00" w:rsidRDefault="003F2647" w:rsidP="00150439">
      <w:pPr>
        <w:bidi w:val="0"/>
        <w:jc w:val="both"/>
        <w:rPr>
          <w:rtl/>
          <w:lang w:eastAsia="en-US"/>
        </w:rPr>
      </w:pPr>
      <w:r w:rsidRPr="00981A00">
        <w:t>A list of all the practicing lawyers with their addresses in Palestine, and a list of all the trainee lawyers with their addresses in the West Bank at the survey period</w:t>
      </w:r>
      <w:r w:rsidRPr="00981A00">
        <w:rPr>
          <w:lang w:eastAsia="en-US"/>
        </w:rPr>
        <w:t>.</w:t>
      </w:r>
    </w:p>
    <w:p w:rsidR="00E5781C" w:rsidRPr="00120BA0" w:rsidRDefault="00E5781C" w:rsidP="00150439">
      <w:pPr>
        <w:bidi w:val="0"/>
        <w:rPr>
          <w:sz w:val="22"/>
          <w:szCs w:val="22"/>
          <w:rtl/>
          <w:lang w:eastAsia="en-US"/>
        </w:rPr>
      </w:pPr>
      <w:r w:rsidRPr="00120BA0">
        <w:rPr>
          <w:sz w:val="22"/>
          <w:szCs w:val="22"/>
          <w:rtl/>
          <w:lang w:eastAsia="en-US"/>
        </w:rPr>
        <w:t xml:space="preserve">  </w:t>
      </w:r>
    </w:p>
    <w:p w:rsidR="00B560D1" w:rsidRPr="00981A00" w:rsidRDefault="00B560D1" w:rsidP="00150439">
      <w:pPr>
        <w:bidi w:val="0"/>
        <w:rPr>
          <w:b/>
          <w:bCs/>
          <w:rtl/>
        </w:rPr>
      </w:pPr>
      <w:r w:rsidRPr="00981A00">
        <w:rPr>
          <w:b/>
          <w:bCs/>
          <w:lang w:eastAsia="en-US"/>
        </w:rPr>
        <w:t>3.3.</w:t>
      </w:r>
      <w:r w:rsidRPr="00981A00">
        <w:rPr>
          <w:b/>
          <w:bCs/>
          <w:rtl/>
          <w:lang w:eastAsia="en-US"/>
        </w:rPr>
        <w:t>3</w:t>
      </w:r>
      <w:r w:rsidRPr="00981A00">
        <w:rPr>
          <w:b/>
          <w:bCs/>
          <w:lang w:eastAsia="en-US"/>
        </w:rPr>
        <w:t>.3</w:t>
      </w:r>
      <w:r w:rsidR="00584BD7" w:rsidRPr="00981A00">
        <w:rPr>
          <w:b/>
          <w:bCs/>
          <w:lang w:eastAsia="en-US"/>
        </w:rPr>
        <w:t xml:space="preserve"> </w:t>
      </w:r>
      <w:r w:rsidR="00B83A9E" w:rsidRPr="00981A00">
        <w:rPr>
          <w:b/>
          <w:bCs/>
        </w:rPr>
        <w:t>Sample Size</w:t>
      </w:r>
    </w:p>
    <w:p w:rsidR="003F2647" w:rsidRPr="00981A00" w:rsidRDefault="003F2647" w:rsidP="00150439">
      <w:pPr>
        <w:bidi w:val="0"/>
        <w:jc w:val="both"/>
        <w:rPr>
          <w:rtl/>
        </w:rPr>
      </w:pPr>
      <w:r w:rsidRPr="00981A00">
        <w:t>The sample size was estimated to be 380 practicing lawyers at the Palestinian National level,</w:t>
      </w:r>
      <w:r w:rsidR="00584BD7" w:rsidRPr="00981A00">
        <w:t xml:space="preserve"> </w:t>
      </w:r>
      <w:r w:rsidRPr="00981A00">
        <w:t>and 380 trainee lawyers in the West Bank.</w:t>
      </w:r>
    </w:p>
    <w:p w:rsidR="00E5781C" w:rsidRPr="00981A00" w:rsidRDefault="00E5781C" w:rsidP="00150439">
      <w:pPr>
        <w:bidi w:val="0"/>
        <w:rPr>
          <w:b/>
          <w:bCs/>
          <w:sz w:val="18"/>
          <w:szCs w:val="18"/>
          <w:rtl/>
          <w:lang w:eastAsia="en-US"/>
        </w:rPr>
      </w:pPr>
    </w:p>
    <w:p w:rsidR="00B83A9E" w:rsidRPr="00981A00" w:rsidRDefault="00B83A9E" w:rsidP="00150439">
      <w:pPr>
        <w:bidi w:val="0"/>
        <w:rPr>
          <w:b/>
          <w:bCs/>
          <w:rtl/>
        </w:rPr>
      </w:pPr>
      <w:r w:rsidRPr="00981A00">
        <w:rPr>
          <w:b/>
          <w:bCs/>
          <w:lang w:eastAsia="en-US"/>
        </w:rPr>
        <w:t>3.3.3.4</w:t>
      </w:r>
      <w:r w:rsidR="00584BD7" w:rsidRPr="00981A00">
        <w:rPr>
          <w:b/>
          <w:bCs/>
          <w:lang w:eastAsia="en-US"/>
        </w:rPr>
        <w:t xml:space="preserve"> </w:t>
      </w:r>
      <w:r w:rsidRPr="00981A00">
        <w:rPr>
          <w:b/>
          <w:bCs/>
        </w:rPr>
        <w:t>Sample Design</w:t>
      </w:r>
    </w:p>
    <w:p w:rsidR="00E5781C" w:rsidRPr="00981A00" w:rsidRDefault="003F2647" w:rsidP="00150439">
      <w:pPr>
        <w:bidi w:val="0"/>
      </w:pPr>
      <w:r w:rsidRPr="00981A00">
        <w:rPr>
          <w:lang w:eastAsia="en-US"/>
        </w:rPr>
        <w:t>One</w:t>
      </w:r>
      <w:r w:rsidRPr="00981A00">
        <w:t xml:space="preserve"> </w:t>
      </w:r>
      <w:r w:rsidR="00E5781C" w:rsidRPr="00981A00">
        <w:t>stage stratified simple random sample</w:t>
      </w:r>
      <w:r w:rsidRPr="00981A00">
        <w:t>.</w:t>
      </w:r>
    </w:p>
    <w:p w:rsidR="00847BF6" w:rsidRPr="00981A00" w:rsidRDefault="00847BF6" w:rsidP="00150439">
      <w:pPr>
        <w:bidi w:val="0"/>
        <w:rPr>
          <w:sz w:val="18"/>
          <w:szCs w:val="18"/>
          <w:lang w:eastAsia="en-US"/>
        </w:rPr>
      </w:pPr>
    </w:p>
    <w:p w:rsidR="00B83A9E" w:rsidRPr="00981A00" w:rsidRDefault="00B83A9E" w:rsidP="00150439">
      <w:pPr>
        <w:bidi w:val="0"/>
        <w:rPr>
          <w:b/>
          <w:bCs/>
          <w:rtl/>
        </w:rPr>
      </w:pPr>
      <w:r w:rsidRPr="00981A00">
        <w:rPr>
          <w:b/>
          <w:bCs/>
          <w:lang w:eastAsia="en-US"/>
        </w:rPr>
        <w:t>3.3.3.5</w:t>
      </w:r>
      <w:r w:rsidR="00584BD7" w:rsidRPr="00981A00">
        <w:rPr>
          <w:b/>
          <w:bCs/>
          <w:rtl/>
          <w:lang w:eastAsia="en-US"/>
        </w:rPr>
        <w:t xml:space="preserve"> </w:t>
      </w:r>
      <w:r w:rsidRPr="00981A00">
        <w:rPr>
          <w:b/>
          <w:bCs/>
        </w:rPr>
        <w:t>Sample strata</w:t>
      </w:r>
    </w:p>
    <w:p w:rsidR="00E5781C" w:rsidRPr="00981A00" w:rsidRDefault="00E5781C" w:rsidP="00150439">
      <w:pPr>
        <w:autoSpaceDE w:val="0"/>
        <w:autoSpaceDN w:val="0"/>
        <w:bidi w:val="0"/>
        <w:adjustRightInd w:val="0"/>
      </w:pPr>
      <w:r w:rsidRPr="00981A00">
        <w:t>The population was divided to strata by:</w:t>
      </w:r>
    </w:p>
    <w:p w:rsidR="00E5781C" w:rsidRPr="00981A00" w:rsidRDefault="00E5781C" w:rsidP="00120BA0">
      <w:pPr>
        <w:pStyle w:val="ListParagraph"/>
        <w:numPr>
          <w:ilvl w:val="0"/>
          <w:numId w:val="35"/>
        </w:numPr>
        <w:bidi w:val="0"/>
        <w:ind w:left="426" w:hanging="284"/>
        <w:contextualSpacing/>
        <w:jc w:val="both"/>
        <w:rPr>
          <w:lang w:eastAsia="en-US"/>
        </w:rPr>
      </w:pPr>
      <w:r w:rsidRPr="00981A00">
        <w:rPr>
          <w:lang w:eastAsia="en-US"/>
        </w:rPr>
        <w:t>Governorate (16 Governorate except</w:t>
      </w:r>
      <w:r w:rsidR="00584BD7" w:rsidRPr="00981A00">
        <w:rPr>
          <w:lang w:eastAsia="en-US"/>
        </w:rPr>
        <w:t xml:space="preserve"> Jerusalem</w:t>
      </w:r>
      <w:r w:rsidRPr="00981A00">
        <w:rPr>
          <w:lang w:eastAsia="en-US"/>
        </w:rPr>
        <w:t xml:space="preserve"> J1)</w:t>
      </w:r>
    </w:p>
    <w:p w:rsidR="00B83A9E" w:rsidRPr="00981A00" w:rsidRDefault="00B83A9E" w:rsidP="00FD620D">
      <w:pPr>
        <w:pStyle w:val="ListParagraph"/>
        <w:numPr>
          <w:ilvl w:val="0"/>
          <w:numId w:val="35"/>
        </w:numPr>
        <w:bidi w:val="0"/>
        <w:ind w:left="426" w:hanging="284"/>
        <w:contextualSpacing/>
        <w:jc w:val="both"/>
        <w:rPr>
          <w:lang w:eastAsia="en-US"/>
        </w:rPr>
      </w:pPr>
      <w:r w:rsidRPr="00981A00">
        <w:rPr>
          <w:lang w:eastAsia="en-US"/>
        </w:rPr>
        <w:t xml:space="preserve">Gender (male, </w:t>
      </w:r>
      <w:r w:rsidR="003F2647" w:rsidRPr="00981A00">
        <w:rPr>
          <w:lang w:eastAsia="en-US"/>
        </w:rPr>
        <w:t xml:space="preserve">and </w:t>
      </w:r>
      <w:r w:rsidRPr="00981A00">
        <w:rPr>
          <w:lang w:eastAsia="en-US"/>
        </w:rPr>
        <w:t>Female)</w:t>
      </w:r>
    </w:p>
    <w:p w:rsidR="00847BF6" w:rsidRPr="00120BA0" w:rsidRDefault="00847BF6" w:rsidP="00150439">
      <w:pPr>
        <w:tabs>
          <w:tab w:val="right" w:pos="284"/>
        </w:tabs>
        <w:bidi w:val="0"/>
        <w:ind w:left="142"/>
        <w:rPr>
          <w:sz w:val="22"/>
          <w:szCs w:val="22"/>
          <w:lang w:eastAsia="en-US"/>
        </w:rPr>
      </w:pPr>
    </w:p>
    <w:p w:rsidR="00B83A9E" w:rsidRPr="00981A00" w:rsidRDefault="00B83A9E" w:rsidP="00150439">
      <w:pPr>
        <w:bidi w:val="0"/>
        <w:rPr>
          <w:b/>
          <w:bCs/>
          <w:rtl/>
        </w:rPr>
      </w:pPr>
      <w:r w:rsidRPr="00981A00">
        <w:rPr>
          <w:b/>
          <w:bCs/>
          <w:lang w:eastAsia="en-US"/>
        </w:rPr>
        <w:t>3.3.3.6</w:t>
      </w:r>
      <w:r w:rsidR="00584BD7" w:rsidRPr="00981A00">
        <w:rPr>
          <w:b/>
          <w:bCs/>
          <w:lang w:eastAsia="en-US"/>
        </w:rPr>
        <w:t xml:space="preserve"> </w:t>
      </w:r>
      <w:r w:rsidR="00151660">
        <w:rPr>
          <w:b/>
          <w:bCs/>
        </w:rPr>
        <w:t xml:space="preserve"> </w:t>
      </w:r>
      <w:r w:rsidRPr="00981A00">
        <w:rPr>
          <w:b/>
          <w:bCs/>
        </w:rPr>
        <w:t>Domains</w:t>
      </w:r>
    </w:p>
    <w:p w:rsidR="00E5781C" w:rsidRPr="00981A00" w:rsidRDefault="00E5781C" w:rsidP="00150439">
      <w:pPr>
        <w:autoSpaceDE w:val="0"/>
        <w:autoSpaceDN w:val="0"/>
        <w:bidi w:val="0"/>
        <w:adjustRightInd w:val="0"/>
      </w:pPr>
      <w:r w:rsidRPr="00981A00">
        <w:t>National level: State of Palestine.</w:t>
      </w:r>
    </w:p>
    <w:p w:rsidR="00DE6F92" w:rsidRPr="00120BA0" w:rsidRDefault="00DE6F92" w:rsidP="00150439">
      <w:pPr>
        <w:bidi w:val="0"/>
        <w:rPr>
          <w:sz w:val="22"/>
          <w:szCs w:val="22"/>
          <w:rtl/>
          <w:lang w:eastAsia="en-US"/>
        </w:rPr>
      </w:pPr>
    </w:p>
    <w:p w:rsidR="00B83A9E" w:rsidRPr="00981A00" w:rsidRDefault="00B83A9E" w:rsidP="00150439">
      <w:pPr>
        <w:bidi w:val="0"/>
        <w:rPr>
          <w:b/>
          <w:bCs/>
          <w:rtl/>
        </w:rPr>
      </w:pPr>
      <w:r w:rsidRPr="00981A00">
        <w:rPr>
          <w:b/>
          <w:bCs/>
          <w:lang w:eastAsia="en-US"/>
        </w:rPr>
        <w:t>3.3.3.7</w:t>
      </w:r>
      <w:r w:rsidR="00584BD7" w:rsidRPr="00981A00">
        <w:rPr>
          <w:b/>
          <w:bCs/>
          <w:lang w:eastAsia="en-US"/>
        </w:rPr>
        <w:t xml:space="preserve"> </w:t>
      </w:r>
      <w:r w:rsidRPr="00981A00">
        <w:rPr>
          <w:b/>
          <w:bCs/>
        </w:rPr>
        <w:t>The calculations of weights</w:t>
      </w:r>
    </w:p>
    <w:p w:rsidR="00B83A9E" w:rsidRPr="00981A00" w:rsidRDefault="002655AA" w:rsidP="00150439">
      <w:pPr>
        <w:bidi w:val="0"/>
        <w:rPr>
          <w:lang w:eastAsia="en-US"/>
        </w:rPr>
      </w:pPr>
      <w:r w:rsidRPr="00981A00">
        <w:rPr>
          <w:lang w:eastAsia="en-US"/>
        </w:rPr>
        <w:t>The weight of the statistical unit (sampling unit) in the sample is defined as the inverted mathematical probability of unit selection. The sample of the survey is a regular one-stage random sample where the weight of each practicing lawyer or trainee was calculated based on the probability of each lawyer choosing a regular random sample.</w:t>
      </w:r>
    </w:p>
    <w:p w:rsidR="00E5781C" w:rsidRPr="00120BA0" w:rsidRDefault="00E5781C" w:rsidP="00150439">
      <w:pPr>
        <w:bidi w:val="0"/>
        <w:rPr>
          <w:b/>
          <w:bCs/>
          <w:sz w:val="22"/>
          <w:szCs w:val="22"/>
          <w:lang w:eastAsia="en-US"/>
        </w:rPr>
      </w:pPr>
    </w:p>
    <w:p w:rsidR="00797229" w:rsidRPr="00981A00" w:rsidRDefault="00797229" w:rsidP="00150439">
      <w:pPr>
        <w:bidi w:val="0"/>
        <w:rPr>
          <w:sz w:val="22"/>
        </w:rPr>
      </w:pPr>
      <w:r w:rsidRPr="00981A00">
        <w:rPr>
          <w:b/>
          <w:bCs/>
          <w:lang w:eastAsia="en-US"/>
        </w:rPr>
        <w:t xml:space="preserve">3.3.4  Survey of  Law </w:t>
      </w:r>
      <w:r w:rsidR="00900E32" w:rsidRPr="00981A00">
        <w:rPr>
          <w:b/>
          <w:bCs/>
          <w:lang w:eastAsia="en-US"/>
        </w:rPr>
        <w:t xml:space="preserve">Academicians </w:t>
      </w:r>
      <w:r w:rsidRPr="00981A00">
        <w:rPr>
          <w:b/>
          <w:bCs/>
          <w:lang w:eastAsia="en-US"/>
        </w:rPr>
        <w:t>and Law Students in Palestinian Universities</w:t>
      </w:r>
    </w:p>
    <w:p w:rsidR="00AE4381" w:rsidRPr="00981A00" w:rsidRDefault="00AE4381" w:rsidP="00AE4381">
      <w:pPr>
        <w:bidi w:val="0"/>
        <w:rPr>
          <w:sz w:val="18"/>
          <w:szCs w:val="18"/>
        </w:rPr>
      </w:pPr>
    </w:p>
    <w:p w:rsidR="00797229" w:rsidRPr="00981A00" w:rsidRDefault="00797229" w:rsidP="00150439">
      <w:pPr>
        <w:bidi w:val="0"/>
        <w:rPr>
          <w:b/>
          <w:bCs/>
          <w:rtl/>
          <w:lang w:eastAsia="en-US"/>
        </w:rPr>
      </w:pPr>
      <w:r w:rsidRPr="00981A00">
        <w:rPr>
          <w:b/>
          <w:bCs/>
          <w:lang w:eastAsia="en-US"/>
        </w:rPr>
        <w:t>3.3.4.1</w:t>
      </w:r>
      <w:r w:rsidR="00900E32" w:rsidRPr="00981A00">
        <w:rPr>
          <w:b/>
          <w:bCs/>
          <w:lang w:eastAsia="en-US"/>
        </w:rPr>
        <w:t xml:space="preserve"> </w:t>
      </w:r>
      <w:r w:rsidRPr="00981A00">
        <w:rPr>
          <w:b/>
          <w:bCs/>
        </w:rPr>
        <w:t>Targeted population</w:t>
      </w:r>
    </w:p>
    <w:p w:rsidR="007E2CD3" w:rsidRPr="00981A00" w:rsidRDefault="007E2CD3" w:rsidP="00120BA0">
      <w:pPr>
        <w:pStyle w:val="ListParagraph"/>
        <w:numPr>
          <w:ilvl w:val="0"/>
          <w:numId w:val="35"/>
        </w:numPr>
        <w:bidi w:val="0"/>
        <w:ind w:left="426" w:hanging="284"/>
        <w:contextualSpacing/>
        <w:jc w:val="both"/>
        <w:rPr>
          <w:lang w:eastAsia="en-US"/>
        </w:rPr>
      </w:pPr>
      <w:r w:rsidRPr="00981A00">
        <w:rPr>
          <w:lang w:eastAsia="en-US"/>
        </w:rPr>
        <w:t xml:space="preserve">All academicians of law faculties in all universities and colleges in Palestine during the survey implementation period. </w:t>
      </w:r>
    </w:p>
    <w:p w:rsidR="007E2CD3" w:rsidRPr="00981A00" w:rsidRDefault="007E2CD3" w:rsidP="00120BA0">
      <w:pPr>
        <w:pStyle w:val="ListParagraph"/>
        <w:numPr>
          <w:ilvl w:val="0"/>
          <w:numId w:val="35"/>
        </w:numPr>
        <w:bidi w:val="0"/>
        <w:ind w:left="426" w:hanging="284"/>
        <w:contextualSpacing/>
        <w:jc w:val="both"/>
        <w:rPr>
          <w:lang w:eastAsia="en-US"/>
        </w:rPr>
      </w:pPr>
      <w:r w:rsidRPr="00981A00">
        <w:rPr>
          <w:lang w:eastAsia="en-US"/>
        </w:rPr>
        <w:t xml:space="preserve">All university students (bachelor) from the first year to the fourth year, who enrolled in law faculties in all the universities and colleges in Palestine during the survey implementation period. </w:t>
      </w:r>
    </w:p>
    <w:p w:rsidR="00797229" w:rsidRPr="00120BA0" w:rsidRDefault="00797229" w:rsidP="00150439">
      <w:pPr>
        <w:bidi w:val="0"/>
        <w:rPr>
          <w:sz w:val="22"/>
          <w:szCs w:val="22"/>
        </w:rPr>
      </w:pPr>
    </w:p>
    <w:p w:rsidR="00797229" w:rsidRPr="00981A00" w:rsidRDefault="00797229" w:rsidP="00150439">
      <w:pPr>
        <w:bidi w:val="0"/>
        <w:rPr>
          <w:rtl/>
        </w:rPr>
      </w:pPr>
      <w:r w:rsidRPr="00981A00">
        <w:rPr>
          <w:rtl/>
        </w:rPr>
        <w:t xml:space="preserve"> </w:t>
      </w:r>
      <w:r w:rsidRPr="00981A00">
        <w:rPr>
          <w:b/>
          <w:bCs/>
          <w:lang w:eastAsia="en-US"/>
        </w:rPr>
        <w:t>3.3.4.2</w:t>
      </w:r>
      <w:r w:rsidR="00900E32" w:rsidRPr="00981A00">
        <w:rPr>
          <w:b/>
          <w:bCs/>
          <w:lang w:eastAsia="en-US"/>
        </w:rPr>
        <w:t xml:space="preserve"> </w:t>
      </w:r>
      <w:r w:rsidRPr="00981A00">
        <w:rPr>
          <w:b/>
          <w:bCs/>
          <w:lang w:eastAsia="en-US"/>
        </w:rPr>
        <w:t>Sample</w:t>
      </w:r>
      <w:r w:rsidRPr="00981A00">
        <w:rPr>
          <w:b/>
          <w:bCs/>
        </w:rPr>
        <w:t xml:space="preserve"> frame</w:t>
      </w:r>
    </w:p>
    <w:p w:rsidR="00E5781C" w:rsidRPr="00981A00" w:rsidRDefault="007E2CD3" w:rsidP="00150439">
      <w:pPr>
        <w:bidi w:val="0"/>
        <w:jc w:val="both"/>
        <w:rPr>
          <w:b/>
          <w:bCs/>
          <w:u w:val="single"/>
        </w:rPr>
      </w:pPr>
      <w:r w:rsidRPr="00981A00">
        <w:t xml:space="preserve">A list of all the universities and colleges that grant certificates in law along with all academicians of law faculties, as well as law students who enrolled in the bachelor program from the first year to the fourth year in all the universities and colleges in Palestine during the survey implementation period.  </w:t>
      </w:r>
    </w:p>
    <w:p w:rsidR="007E2CD3" w:rsidRPr="00120BA0" w:rsidRDefault="007E2CD3" w:rsidP="00150439">
      <w:pPr>
        <w:bidi w:val="0"/>
        <w:rPr>
          <w:b/>
          <w:bCs/>
          <w:sz w:val="22"/>
          <w:szCs w:val="22"/>
          <w:u w:val="single"/>
        </w:rPr>
      </w:pPr>
    </w:p>
    <w:p w:rsidR="0032386D" w:rsidRPr="00981A00" w:rsidRDefault="0032386D" w:rsidP="00150439">
      <w:pPr>
        <w:bidi w:val="0"/>
        <w:rPr>
          <w:b/>
          <w:bCs/>
          <w:rtl/>
        </w:rPr>
      </w:pPr>
      <w:r w:rsidRPr="00981A00">
        <w:rPr>
          <w:b/>
          <w:bCs/>
          <w:lang w:eastAsia="en-US"/>
        </w:rPr>
        <w:t>3.3.4.3</w:t>
      </w:r>
      <w:r w:rsidR="00900E32" w:rsidRPr="00981A00">
        <w:rPr>
          <w:b/>
          <w:bCs/>
          <w:lang w:eastAsia="en-US"/>
        </w:rPr>
        <w:t xml:space="preserve"> </w:t>
      </w:r>
      <w:r w:rsidRPr="00981A00">
        <w:rPr>
          <w:b/>
          <w:bCs/>
        </w:rPr>
        <w:t>Sample Size</w:t>
      </w:r>
    </w:p>
    <w:p w:rsidR="007E2CD3" w:rsidRPr="00981A00" w:rsidRDefault="007E2CD3" w:rsidP="00150439">
      <w:pPr>
        <w:bidi w:val="0"/>
        <w:jc w:val="both"/>
        <w:rPr>
          <w:rtl/>
        </w:rPr>
      </w:pPr>
      <w:r w:rsidRPr="00981A00">
        <w:t>The sample size was estimated to be 464 students in law faculties in all universities and colleges in Palestine. In addition to a comprehensive inventory for all</w:t>
      </w:r>
      <w:r w:rsidR="00900E32" w:rsidRPr="00981A00">
        <w:t xml:space="preserve"> </w:t>
      </w:r>
      <w:r w:rsidRPr="00981A00">
        <w:t>of</w:t>
      </w:r>
      <w:r w:rsidR="00900E32" w:rsidRPr="00981A00">
        <w:t xml:space="preserve"> </w:t>
      </w:r>
      <w:r w:rsidRPr="00981A00">
        <w:t>law academicians.</w:t>
      </w:r>
    </w:p>
    <w:p w:rsidR="00A21922" w:rsidRDefault="00A21922" w:rsidP="00AE4381">
      <w:pPr>
        <w:bidi w:val="0"/>
        <w:rPr>
          <w:b/>
          <w:bCs/>
          <w:sz w:val="22"/>
          <w:szCs w:val="22"/>
          <w:lang w:eastAsia="en-US"/>
        </w:rPr>
      </w:pPr>
    </w:p>
    <w:p w:rsidR="00A21922" w:rsidRDefault="00A21922" w:rsidP="00A21922">
      <w:pPr>
        <w:bidi w:val="0"/>
        <w:rPr>
          <w:b/>
          <w:bCs/>
          <w:sz w:val="22"/>
          <w:szCs w:val="22"/>
          <w:lang w:eastAsia="en-US"/>
        </w:rPr>
      </w:pPr>
    </w:p>
    <w:p w:rsidR="0032386D" w:rsidRPr="00981A00" w:rsidRDefault="0032386D" w:rsidP="00A21922">
      <w:pPr>
        <w:bidi w:val="0"/>
        <w:rPr>
          <w:b/>
          <w:bCs/>
          <w:rtl/>
        </w:rPr>
      </w:pPr>
      <w:r w:rsidRPr="00981A00">
        <w:rPr>
          <w:b/>
          <w:bCs/>
          <w:lang w:eastAsia="en-US"/>
        </w:rPr>
        <w:lastRenderedPageBreak/>
        <w:t>3.3.4.4</w:t>
      </w:r>
      <w:r w:rsidR="00900E32" w:rsidRPr="00981A00">
        <w:rPr>
          <w:b/>
          <w:bCs/>
          <w:lang w:eastAsia="en-US"/>
        </w:rPr>
        <w:t xml:space="preserve"> </w:t>
      </w:r>
      <w:r w:rsidRPr="00981A00">
        <w:rPr>
          <w:b/>
          <w:bCs/>
        </w:rPr>
        <w:t>Sample Design</w:t>
      </w:r>
    </w:p>
    <w:p w:rsidR="007E2CD3" w:rsidRPr="00981A00" w:rsidRDefault="007E2CD3" w:rsidP="00150439">
      <w:pPr>
        <w:bidi w:val="0"/>
        <w:jc w:val="both"/>
        <w:rPr>
          <w:rtl/>
        </w:rPr>
      </w:pPr>
      <w:r w:rsidRPr="00981A00">
        <w:t>The sample is a simple one-stage random sample for the students and a comprehensive inventory of all the academicians.</w:t>
      </w:r>
    </w:p>
    <w:p w:rsidR="0032386D" w:rsidRPr="00981A00" w:rsidRDefault="0032386D" w:rsidP="00150439">
      <w:pPr>
        <w:bidi w:val="0"/>
        <w:rPr>
          <w:sz w:val="18"/>
          <w:szCs w:val="18"/>
          <w:rtl/>
          <w:lang w:eastAsia="en-US"/>
        </w:rPr>
      </w:pPr>
    </w:p>
    <w:p w:rsidR="0032386D" w:rsidRPr="00981A00" w:rsidRDefault="0032386D" w:rsidP="00150439">
      <w:pPr>
        <w:bidi w:val="0"/>
        <w:rPr>
          <w:b/>
          <w:bCs/>
          <w:rtl/>
        </w:rPr>
      </w:pPr>
      <w:r w:rsidRPr="00981A00">
        <w:rPr>
          <w:b/>
          <w:bCs/>
          <w:lang w:eastAsia="en-US"/>
        </w:rPr>
        <w:t>3.3.4.5</w:t>
      </w:r>
      <w:r w:rsidR="00900E32" w:rsidRPr="00981A00">
        <w:rPr>
          <w:b/>
          <w:bCs/>
          <w:lang w:eastAsia="en-US"/>
        </w:rPr>
        <w:t xml:space="preserve"> </w:t>
      </w:r>
      <w:r w:rsidRPr="00981A00">
        <w:rPr>
          <w:b/>
          <w:bCs/>
        </w:rPr>
        <w:t>Sample strata</w:t>
      </w:r>
    </w:p>
    <w:p w:rsidR="00E5781C" w:rsidRPr="00981A00" w:rsidRDefault="00E5781C" w:rsidP="00150439">
      <w:pPr>
        <w:pStyle w:val="ListParagraph"/>
        <w:autoSpaceDE w:val="0"/>
        <w:autoSpaceDN w:val="0"/>
        <w:bidi w:val="0"/>
        <w:adjustRightInd w:val="0"/>
        <w:ind w:left="0"/>
      </w:pPr>
      <w:r w:rsidRPr="00981A00">
        <w:t>The population was divided to strata by:</w:t>
      </w:r>
    </w:p>
    <w:p w:rsidR="007E2CD3" w:rsidRPr="00981A00" w:rsidRDefault="007E2CD3" w:rsidP="00120BA0">
      <w:pPr>
        <w:pStyle w:val="ListParagraph"/>
        <w:numPr>
          <w:ilvl w:val="0"/>
          <w:numId w:val="44"/>
        </w:numPr>
        <w:bidi w:val="0"/>
        <w:ind w:left="426" w:hanging="284"/>
      </w:pPr>
      <w:r w:rsidRPr="00981A00">
        <w:t>University or College:</w:t>
      </w:r>
    </w:p>
    <w:p w:rsidR="00E5781C" w:rsidRPr="00981A00" w:rsidRDefault="004D521C" w:rsidP="00150439">
      <w:pPr>
        <w:numPr>
          <w:ilvl w:val="0"/>
          <w:numId w:val="39"/>
        </w:numPr>
        <w:tabs>
          <w:tab w:val="right" w:pos="284"/>
          <w:tab w:val="right" w:pos="567"/>
          <w:tab w:val="left" w:pos="851"/>
          <w:tab w:val="right" w:pos="993"/>
        </w:tabs>
        <w:bidi w:val="0"/>
        <w:ind w:left="284" w:right="1276" w:firstLine="0"/>
      </w:pPr>
      <w:r w:rsidRPr="00981A00">
        <w:t xml:space="preserve">The Islamic </w:t>
      </w:r>
      <w:r w:rsidR="00F61D10" w:rsidRPr="00981A00">
        <w:t>University</w:t>
      </w:r>
    </w:p>
    <w:p w:rsidR="00E5781C" w:rsidRPr="00981A00" w:rsidRDefault="004D521C" w:rsidP="00150439">
      <w:pPr>
        <w:numPr>
          <w:ilvl w:val="0"/>
          <w:numId w:val="39"/>
        </w:numPr>
        <w:tabs>
          <w:tab w:val="right" w:pos="284"/>
          <w:tab w:val="right" w:pos="567"/>
          <w:tab w:val="left" w:pos="851"/>
          <w:tab w:val="right" w:pos="993"/>
        </w:tabs>
        <w:bidi w:val="0"/>
        <w:ind w:left="284" w:right="1276" w:firstLine="0"/>
      </w:pPr>
      <w:r w:rsidRPr="00981A00">
        <w:t xml:space="preserve">Arab American </w:t>
      </w:r>
      <w:r w:rsidR="00F61D10" w:rsidRPr="00981A00">
        <w:t>University</w:t>
      </w:r>
    </w:p>
    <w:p w:rsidR="00E5781C" w:rsidRPr="00981A00" w:rsidRDefault="00F61D10" w:rsidP="00150439">
      <w:pPr>
        <w:numPr>
          <w:ilvl w:val="0"/>
          <w:numId w:val="39"/>
        </w:numPr>
        <w:tabs>
          <w:tab w:val="right" w:pos="284"/>
          <w:tab w:val="right" w:pos="567"/>
          <w:tab w:val="left" w:pos="851"/>
          <w:tab w:val="right" w:pos="993"/>
        </w:tabs>
        <w:bidi w:val="0"/>
        <w:ind w:left="284" w:right="1276" w:firstLine="0"/>
      </w:pPr>
      <w:r w:rsidRPr="00981A00">
        <w:t xml:space="preserve">Arab College </w:t>
      </w:r>
      <w:r w:rsidR="007E2CD3" w:rsidRPr="00981A00">
        <w:t xml:space="preserve">of </w:t>
      </w:r>
      <w:r w:rsidRPr="00981A00">
        <w:t>Applied Science</w:t>
      </w:r>
    </w:p>
    <w:p w:rsidR="00E5781C" w:rsidRPr="00981A00" w:rsidRDefault="008C2ED8" w:rsidP="00150439">
      <w:pPr>
        <w:numPr>
          <w:ilvl w:val="0"/>
          <w:numId w:val="39"/>
        </w:numPr>
        <w:tabs>
          <w:tab w:val="right" w:pos="284"/>
          <w:tab w:val="right" w:pos="567"/>
          <w:tab w:val="left" w:pos="851"/>
          <w:tab w:val="right" w:pos="993"/>
        </w:tabs>
        <w:bidi w:val="0"/>
        <w:ind w:left="284" w:right="1276" w:firstLine="0"/>
      </w:pPr>
      <w:r w:rsidRPr="00981A00">
        <w:t xml:space="preserve">Modern </w:t>
      </w:r>
      <w:r w:rsidR="006F0DEA" w:rsidRPr="00981A00">
        <w:t>University College</w:t>
      </w:r>
    </w:p>
    <w:p w:rsidR="00E5781C" w:rsidRPr="00981A00" w:rsidRDefault="007E2CD3" w:rsidP="00150439">
      <w:pPr>
        <w:numPr>
          <w:ilvl w:val="0"/>
          <w:numId w:val="39"/>
        </w:numPr>
        <w:tabs>
          <w:tab w:val="right" w:pos="284"/>
          <w:tab w:val="right" w:pos="567"/>
          <w:tab w:val="left" w:pos="851"/>
          <w:tab w:val="right" w:pos="993"/>
        </w:tabs>
        <w:bidi w:val="0"/>
        <w:ind w:left="284" w:right="1276" w:firstLine="0"/>
      </w:pPr>
      <w:r w:rsidRPr="00981A00">
        <w:t>Al-</w:t>
      </w:r>
      <w:r w:rsidR="008C2ED8" w:rsidRPr="00981A00">
        <w:t xml:space="preserve">Azhar </w:t>
      </w:r>
      <w:r w:rsidR="006F0DEA" w:rsidRPr="00981A00">
        <w:t>University</w:t>
      </w:r>
    </w:p>
    <w:p w:rsidR="00E5781C" w:rsidRPr="00981A00" w:rsidRDefault="008C2ED8" w:rsidP="00150439">
      <w:pPr>
        <w:numPr>
          <w:ilvl w:val="0"/>
          <w:numId w:val="39"/>
        </w:numPr>
        <w:tabs>
          <w:tab w:val="right" w:pos="284"/>
          <w:tab w:val="right" w:pos="567"/>
          <w:tab w:val="left" w:pos="851"/>
          <w:tab w:val="right" w:pos="993"/>
        </w:tabs>
        <w:bidi w:val="0"/>
        <w:ind w:left="284" w:right="1276" w:firstLine="0"/>
      </w:pPr>
      <w:r w:rsidRPr="00981A00">
        <w:t>Al</w:t>
      </w:r>
      <w:r w:rsidR="007E2CD3" w:rsidRPr="00981A00">
        <w:t>-</w:t>
      </w:r>
      <w:r w:rsidRPr="00981A00">
        <w:t xml:space="preserve">Istiqlal </w:t>
      </w:r>
      <w:r w:rsidR="00F61D10" w:rsidRPr="00981A00">
        <w:t>University</w:t>
      </w:r>
    </w:p>
    <w:p w:rsidR="00E5781C" w:rsidRPr="00981A00" w:rsidRDefault="006F0DEA" w:rsidP="00150439">
      <w:pPr>
        <w:numPr>
          <w:ilvl w:val="0"/>
          <w:numId w:val="39"/>
        </w:numPr>
        <w:tabs>
          <w:tab w:val="right" w:pos="284"/>
          <w:tab w:val="right" w:pos="567"/>
          <w:tab w:val="left" w:pos="851"/>
          <w:tab w:val="right" w:pos="993"/>
        </w:tabs>
        <w:bidi w:val="0"/>
        <w:ind w:left="284" w:right="1276" w:firstLine="0"/>
      </w:pPr>
      <w:r w:rsidRPr="00981A00">
        <w:t xml:space="preserve">Hebron </w:t>
      </w:r>
      <w:r w:rsidR="00F61D10" w:rsidRPr="00981A00">
        <w:t>University</w:t>
      </w:r>
    </w:p>
    <w:p w:rsidR="00E5781C" w:rsidRPr="00981A00" w:rsidRDefault="007E2CD3" w:rsidP="00150439">
      <w:pPr>
        <w:numPr>
          <w:ilvl w:val="0"/>
          <w:numId w:val="39"/>
        </w:numPr>
        <w:tabs>
          <w:tab w:val="right" w:pos="284"/>
          <w:tab w:val="right" w:pos="567"/>
          <w:tab w:val="left" w:pos="851"/>
          <w:tab w:val="right" w:pos="993"/>
        </w:tabs>
        <w:bidi w:val="0"/>
        <w:ind w:left="284" w:right="1276" w:firstLine="0"/>
      </w:pPr>
      <w:r w:rsidRPr="00981A00">
        <w:t>Al-</w:t>
      </w:r>
      <w:r w:rsidR="006F0DEA" w:rsidRPr="00981A00">
        <w:t xml:space="preserve">Quds </w:t>
      </w:r>
      <w:r w:rsidR="00AF673A" w:rsidRPr="00981A00">
        <w:t>University</w:t>
      </w:r>
    </w:p>
    <w:p w:rsidR="00E5781C" w:rsidRPr="00981A00" w:rsidRDefault="006F0DEA" w:rsidP="00150439">
      <w:pPr>
        <w:numPr>
          <w:ilvl w:val="0"/>
          <w:numId w:val="39"/>
        </w:numPr>
        <w:tabs>
          <w:tab w:val="right" w:pos="284"/>
          <w:tab w:val="right" w:pos="567"/>
          <w:tab w:val="left" w:pos="851"/>
          <w:tab w:val="right" w:pos="993"/>
        </w:tabs>
        <w:bidi w:val="0"/>
        <w:ind w:left="284" w:right="1276" w:firstLine="0"/>
      </w:pPr>
      <w:r w:rsidRPr="00981A00">
        <w:t>An Najah National University</w:t>
      </w:r>
    </w:p>
    <w:p w:rsidR="00E5781C" w:rsidRPr="00981A00" w:rsidRDefault="006F0DEA" w:rsidP="00150439">
      <w:pPr>
        <w:numPr>
          <w:ilvl w:val="0"/>
          <w:numId w:val="39"/>
        </w:numPr>
        <w:tabs>
          <w:tab w:val="right" w:pos="284"/>
          <w:tab w:val="right" w:pos="567"/>
          <w:tab w:val="left" w:pos="851"/>
          <w:tab w:val="right" w:pos="993"/>
        </w:tabs>
        <w:bidi w:val="0"/>
        <w:ind w:left="284" w:right="1276" w:firstLine="0"/>
      </w:pPr>
      <w:r w:rsidRPr="00981A00">
        <w:t>Birzeit University</w:t>
      </w:r>
    </w:p>
    <w:p w:rsidR="00316C08" w:rsidRPr="00981A00" w:rsidRDefault="006F0DEA" w:rsidP="00150439">
      <w:pPr>
        <w:numPr>
          <w:ilvl w:val="0"/>
          <w:numId w:val="39"/>
        </w:numPr>
        <w:tabs>
          <w:tab w:val="right" w:pos="284"/>
          <w:tab w:val="right" w:pos="567"/>
          <w:tab w:val="left" w:pos="851"/>
          <w:tab w:val="right" w:pos="993"/>
        </w:tabs>
        <w:bidi w:val="0"/>
        <w:ind w:left="284" w:right="1276" w:firstLine="0"/>
      </w:pPr>
      <w:r w:rsidRPr="00981A00">
        <w:t>Gaza University</w:t>
      </w:r>
    </w:p>
    <w:p w:rsidR="00E5781C" w:rsidRPr="00981A00" w:rsidRDefault="00316C08" w:rsidP="00316C08">
      <w:pPr>
        <w:numPr>
          <w:ilvl w:val="0"/>
          <w:numId w:val="39"/>
        </w:numPr>
        <w:tabs>
          <w:tab w:val="right" w:pos="284"/>
          <w:tab w:val="right" w:pos="567"/>
          <w:tab w:val="left" w:pos="851"/>
          <w:tab w:val="right" w:pos="993"/>
        </w:tabs>
        <w:bidi w:val="0"/>
        <w:ind w:left="284" w:right="1276" w:firstLine="0"/>
      </w:pPr>
      <w:r w:rsidRPr="00981A00">
        <w:t>Pale</w:t>
      </w:r>
      <w:r w:rsidR="0031492F" w:rsidRPr="00981A00">
        <w:t>s</w:t>
      </w:r>
      <w:r w:rsidRPr="00981A00">
        <w:t>tine University</w:t>
      </w:r>
      <w:r w:rsidR="006F0DEA" w:rsidRPr="00981A00">
        <w:rPr>
          <w:rtl/>
        </w:rPr>
        <w:t xml:space="preserve"> </w:t>
      </w:r>
    </w:p>
    <w:p w:rsidR="00E5781C" w:rsidRPr="00981A00" w:rsidRDefault="00AF673A" w:rsidP="00150439">
      <w:pPr>
        <w:numPr>
          <w:ilvl w:val="0"/>
          <w:numId w:val="39"/>
        </w:numPr>
        <w:tabs>
          <w:tab w:val="right" w:pos="284"/>
          <w:tab w:val="right" w:pos="567"/>
          <w:tab w:val="left" w:pos="851"/>
          <w:tab w:val="right" w:pos="993"/>
        </w:tabs>
        <w:bidi w:val="0"/>
        <w:ind w:left="284" w:right="1276" w:firstLine="0"/>
      </w:pPr>
      <w:r w:rsidRPr="00981A00">
        <w:t>Palestine Ahliya University</w:t>
      </w:r>
    </w:p>
    <w:p w:rsidR="00393CE7" w:rsidRPr="00981A00" w:rsidRDefault="00393CE7" w:rsidP="00150439">
      <w:pPr>
        <w:tabs>
          <w:tab w:val="right" w:pos="284"/>
          <w:tab w:val="right" w:pos="426"/>
          <w:tab w:val="right" w:pos="993"/>
          <w:tab w:val="left" w:pos="1218"/>
        </w:tabs>
        <w:bidi w:val="0"/>
        <w:ind w:left="284" w:right="1276"/>
        <w:rPr>
          <w:sz w:val="18"/>
          <w:szCs w:val="18"/>
        </w:rPr>
      </w:pPr>
    </w:p>
    <w:p w:rsidR="00E5781C" w:rsidRPr="00981A00" w:rsidRDefault="0032386D" w:rsidP="00120BA0">
      <w:pPr>
        <w:pStyle w:val="ListParagraph"/>
        <w:numPr>
          <w:ilvl w:val="0"/>
          <w:numId w:val="44"/>
        </w:numPr>
        <w:bidi w:val="0"/>
        <w:ind w:left="426" w:hanging="284"/>
      </w:pPr>
      <w:r w:rsidRPr="00981A00">
        <w:t>Gender</w:t>
      </w:r>
      <w:r w:rsidR="00393CE7" w:rsidRPr="00981A00">
        <w:t xml:space="preserve"> of </w:t>
      </w:r>
      <w:r w:rsidRPr="00981A00">
        <w:t>Student (Male,</w:t>
      </w:r>
      <w:r w:rsidR="007E2CD3" w:rsidRPr="00981A00">
        <w:t xml:space="preserve"> and</w:t>
      </w:r>
      <w:r w:rsidRPr="00981A00">
        <w:t xml:space="preserve"> Female</w:t>
      </w:r>
      <w:r w:rsidR="00393CE7" w:rsidRPr="00981A00">
        <w:t>)</w:t>
      </w:r>
    </w:p>
    <w:p w:rsidR="00E5781C" w:rsidRPr="00981A00" w:rsidRDefault="00E5781C" w:rsidP="00DC65F2">
      <w:pPr>
        <w:bidi w:val="0"/>
        <w:ind w:left="426"/>
        <w:rPr>
          <w:sz w:val="18"/>
          <w:szCs w:val="18"/>
          <w:rtl/>
        </w:rPr>
      </w:pPr>
    </w:p>
    <w:p w:rsidR="00D35A6F" w:rsidRPr="00981A00" w:rsidRDefault="00D35A6F" w:rsidP="00150439">
      <w:pPr>
        <w:bidi w:val="0"/>
        <w:rPr>
          <w:b/>
          <w:bCs/>
          <w:rtl/>
        </w:rPr>
      </w:pPr>
      <w:r w:rsidRPr="00981A00">
        <w:rPr>
          <w:b/>
          <w:bCs/>
          <w:lang w:eastAsia="en-US"/>
        </w:rPr>
        <w:t>3.3.4.6</w:t>
      </w:r>
      <w:r w:rsidR="00900E32" w:rsidRPr="00981A00">
        <w:rPr>
          <w:b/>
          <w:bCs/>
          <w:lang w:eastAsia="en-US"/>
        </w:rPr>
        <w:t xml:space="preserve"> </w:t>
      </w:r>
      <w:r w:rsidRPr="00981A00">
        <w:rPr>
          <w:b/>
          <w:bCs/>
        </w:rPr>
        <w:t>Domains:</w:t>
      </w:r>
    </w:p>
    <w:p w:rsidR="00E5781C" w:rsidRPr="00981A00" w:rsidRDefault="00E5781C" w:rsidP="00150439">
      <w:pPr>
        <w:tabs>
          <w:tab w:val="right" w:pos="1134"/>
        </w:tabs>
        <w:bidi w:val="0"/>
        <w:ind w:right="360"/>
      </w:pPr>
      <w:r w:rsidRPr="00981A00">
        <w:t xml:space="preserve"> National level: State of Palestine.</w:t>
      </w:r>
    </w:p>
    <w:p w:rsidR="00E5781C" w:rsidRPr="00981A00" w:rsidRDefault="00E5781C" w:rsidP="00150439">
      <w:pPr>
        <w:bidi w:val="0"/>
        <w:rPr>
          <w:sz w:val="18"/>
          <w:szCs w:val="18"/>
          <w:rtl/>
          <w:lang w:eastAsia="en-US"/>
        </w:rPr>
      </w:pPr>
    </w:p>
    <w:p w:rsidR="00D35A6F" w:rsidRPr="00981A00" w:rsidRDefault="00D35A6F" w:rsidP="00150439">
      <w:pPr>
        <w:bidi w:val="0"/>
        <w:rPr>
          <w:b/>
          <w:bCs/>
          <w:rtl/>
        </w:rPr>
      </w:pPr>
      <w:r w:rsidRPr="00981A00">
        <w:rPr>
          <w:b/>
          <w:bCs/>
          <w:lang w:eastAsia="en-US"/>
        </w:rPr>
        <w:t>3.3.4.7</w:t>
      </w:r>
      <w:r w:rsidR="00900E32" w:rsidRPr="00981A00">
        <w:rPr>
          <w:b/>
          <w:bCs/>
          <w:lang w:eastAsia="en-US"/>
        </w:rPr>
        <w:t xml:space="preserve"> </w:t>
      </w:r>
      <w:r w:rsidRPr="00981A00">
        <w:rPr>
          <w:b/>
          <w:bCs/>
        </w:rPr>
        <w:t>The calculations of weights:</w:t>
      </w:r>
    </w:p>
    <w:p w:rsidR="007E2CD3" w:rsidRPr="00981A00" w:rsidRDefault="007E2CD3" w:rsidP="00150439">
      <w:pPr>
        <w:bidi w:val="0"/>
        <w:jc w:val="both"/>
        <w:rPr>
          <w:rtl/>
          <w:lang w:eastAsia="en-US"/>
        </w:rPr>
      </w:pPr>
      <w:r w:rsidRPr="00981A00">
        <w:t>The weight of the statistical unit (sampling unit) in the sample is defined as the inverted mathematical probability of the unit selection, and the survey sample is a simple one-stage random sample, where each student's weight was calculated depending on the probability of selecting each student (a simple random sample), as well as the  law academicians' weights were calculated in order to compensate for the non-response cases</w:t>
      </w:r>
      <w:r w:rsidRPr="00981A00">
        <w:rPr>
          <w:lang w:eastAsia="en-US"/>
        </w:rPr>
        <w:t>.</w:t>
      </w:r>
    </w:p>
    <w:p w:rsidR="00E5781C" w:rsidRPr="00981A00" w:rsidRDefault="00E5781C" w:rsidP="00150439">
      <w:pPr>
        <w:bidi w:val="0"/>
        <w:rPr>
          <w:b/>
          <w:bCs/>
          <w:sz w:val="18"/>
          <w:szCs w:val="18"/>
          <w:lang w:eastAsia="en-US"/>
        </w:rPr>
      </w:pPr>
    </w:p>
    <w:p w:rsidR="00695B88" w:rsidRPr="00981A00" w:rsidRDefault="00695B88" w:rsidP="00150439">
      <w:pPr>
        <w:pStyle w:val="Heading1"/>
        <w:bidi w:val="0"/>
        <w:jc w:val="left"/>
        <w:rPr>
          <w:rFonts w:ascii="Times New Roman" w:hAnsi="Times New Roman"/>
          <w:kern w:val="0"/>
          <w:sz w:val="24"/>
          <w:szCs w:val="24"/>
          <w:rtl/>
          <w:lang w:eastAsia="en-US"/>
        </w:rPr>
      </w:pPr>
      <w:r w:rsidRPr="00981A00">
        <w:rPr>
          <w:rFonts w:ascii="Times New Roman" w:hAnsi="Times New Roman"/>
          <w:kern w:val="0"/>
          <w:sz w:val="24"/>
          <w:szCs w:val="24"/>
          <w:lang w:eastAsia="en-US"/>
        </w:rPr>
        <w:t>3.4 Field Operations</w:t>
      </w:r>
    </w:p>
    <w:p w:rsidR="00710315" w:rsidRPr="00981A00" w:rsidRDefault="00710315" w:rsidP="00150439">
      <w:pPr>
        <w:pStyle w:val="BodyText3"/>
        <w:bidi w:val="0"/>
        <w:jc w:val="both"/>
        <w:rPr>
          <w:sz w:val="24"/>
          <w:szCs w:val="24"/>
        </w:rPr>
      </w:pPr>
      <w:r w:rsidRPr="00981A00">
        <w:rPr>
          <w:sz w:val="24"/>
          <w:szCs w:val="24"/>
        </w:rPr>
        <w:t>Field operations are the actual survey work conducted to gather the data required from primary sources. Careful attention must be paid to details in this stage to provide all technical and administrative needs including recruitment and training, provision of material needs for the best performance possible of work.</w:t>
      </w:r>
    </w:p>
    <w:p w:rsidR="00E5781C" w:rsidRPr="00981A00" w:rsidRDefault="00E5781C" w:rsidP="00150439">
      <w:pPr>
        <w:bidi w:val="0"/>
        <w:rPr>
          <w:sz w:val="18"/>
          <w:szCs w:val="18"/>
          <w:rtl/>
          <w:lang w:eastAsia="en-US"/>
        </w:rPr>
      </w:pPr>
    </w:p>
    <w:p w:rsidR="00695B88" w:rsidRPr="00981A00" w:rsidRDefault="00695B88" w:rsidP="00150439">
      <w:pPr>
        <w:bidi w:val="0"/>
        <w:rPr>
          <w:rFonts w:eastAsiaTheme="minorHAnsi"/>
          <w:b/>
          <w:bCs/>
        </w:rPr>
      </w:pPr>
      <w:r w:rsidRPr="00981A00">
        <w:rPr>
          <w:rFonts w:eastAsiaTheme="minorHAnsi"/>
          <w:b/>
          <w:bCs/>
          <w:rtl/>
        </w:rPr>
        <w:t>3.</w:t>
      </w:r>
      <w:r w:rsidRPr="00981A00">
        <w:rPr>
          <w:rFonts w:eastAsiaTheme="minorHAnsi"/>
          <w:b/>
          <w:bCs/>
        </w:rPr>
        <w:t>4.1 Training and Appointment</w:t>
      </w:r>
    </w:p>
    <w:p w:rsidR="007E2CD3" w:rsidRPr="00981A00" w:rsidRDefault="007E2CD3" w:rsidP="00150439">
      <w:pPr>
        <w:bidi w:val="0"/>
        <w:jc w:val="both"/>
        <w:rPr>
          <w:rtl/>
          <w:lang w:eastAsia="en-US"/>
        </w:rPr>
      </w:pPr>
      <w:r w:rsidRPr="00981A00">
        <w:rPr>
          <w:rFonts w:eastAsiaTheme="minorHAnsi"/>
        </w:rPr>
        <w:t>Two training courses were held, the first one is for the fieldworkers on the survey citizens' perceptions and the second is for the researchers on the expert surveys</w:t>
      </w:r>
      <w:r w:rsidRPr="00981A00">
        <w:t xml:space="preserve"> </w:t>
      </w:r>
      <w:r w:rsidRPr="00981A00">
        <w:rPr>
          <w:rFonts w:eastAsiaTheme="minorHAnsi"/>
        </w:rPr>
        <w:t>(Judges, prosecutors, lawyers, faculty academicians and students), where the fieldworkers were trained on various field operations in general, and that was before the beginning of the survey, as well as the fieldworkers training has included the data collection, and the fieldwork ethics including asking questions,</w:t>
      </w:r>
      <w:r w:rsidRPr="00981A00">
        <w:t xml:space="preserve"> </w:t>
      </w:r>
      <w:r w:rsidRPr="00981A00">
        <w:rPr>
          <w:rFonts w:eastAsiaTheme="minorHAnsi"/>
        </w:rPr>
        <w:t>recording responses, interviewing ethics, by using tablets</w:t>
      </w:r>
      <w:r w:rsidRPr="00981A00">
        <w:rPr>
          <w:lang w:eastAsia="en-US"/>
        </w:rPr>
        <w:t>.</w:t>
      </w:r>
    </w:p>
    <w:p w:rsidR="00E5781C" w:rsidRPr="00981A00" w:rsidRDefault="00E5781C" w:rsidP="00DC65F2">
      <w:pPr>
        <w:bidi w:val="0"/>
        <w:ind w:left="142"/>
        <w:rPr>
          <w:b/>
          <w:bCs/>
          <w:sz w:val="18"/>
          <w:szCs w:val="18"/>
          <w:rtl/>
          <w:lang w:eastAsia="en-US"/>
        </w:rPr>
      </w:pPr>
    </w:p>
    <w:p w:rsidR="00695B88" w:rsidRPr="00981A00" w:rsidRDefault="00695B88" w:rsidP="00150439">
      <w:pPr>
        <w:pStyle w:val="Heading1"/>
        <w:bidi w:val="0"/>
        <w:jc w:val="left"/>
        <w:rPr>
          <w:rFonts w:ascii="Times New Roman" w:hAnsi="Times New Roman"/>
          <w:kern w:val="0"/>
          <w:sz w:val="24"/>
          <w:szCs w:val="24"/>
          <w:rtl/>
          <w:lang w:eastAsia="en-US"/>
        </w:rPr>
      </w:pPr>
      <w:r w:rsidRPr="00981A00">
        <w:rPr>
          <w:rFonts w:ascii="Times New Roman" w:hAnsi="Times New Roman"/>
          <w:kern w:val="0"/>
          <w:sz w:val="24"/>
          <w:szCs w:val="24"/>
          <w:rtl/>
          <w:lang w:eastAsia="en-US"/>
        </w:rPr>
        <w:t>3.</w:t>
      </w:r>
      <w:r w:rsidRPr="00981A00">
        <w:rPr>
          <w:rFonts w:ascii="Times New Roman" w:hAnsi="Times New Roman"/>
          <w:kern w:val="0"/>
          <w:sz w:val="24"/>
          <w:szCs w:val="24"/>
          <w:lang w:eastAsia="en-US"/>
        </w:rPr>
        <w:t>4.</w:t>
      </w:r>
      <w:r w:rsidRPr="00981A00">
        <w:rPr>
          <w:rFonts w:ascii="Times New Roman" w:hAnsi="Times New Roman"/>
          <w:kern w:val="0"/>
          <w:sz w:val="24"/>
          <w:szCs w:val="24"/>
          <w:rtl/>
          <w:lang w:eastAsia="en-US"/>
        </w:rPr>
        <w:t>2</w:t>
      </w:r>
      <w:r w:rsidRPr="00981A00">
        <w:rPr>
          <w:rFonts w:ascii="Times New Roman" w:hAnsi="Times New Roman"/>
          <w:kern w:val="0"/>
          <w:sz w:val="24"/>
          <w:szCs w:val="24"/>
          <w:lang w:eastAsia="en-US"/>
        </w:rPr>
        <w:t xml:space="preserve"> Data collection</w:t>
      </w:r>
    </w:p>
    <w:p w:rsidR="007E2CD3" w:rsidRPr="00981A00" w:rsidRDefault="007E2CD3" w:rsidP="00FD620D">
      <w:pPr>
        <w:bidi w:val="0"/>
        <w:jc w:val="both"/>
        <w:rPr>
          <w:rtl/>
          <w:lang w:eastAsia="en-US"/>
        </w:rPr>
      </w:pPr>
      <w:r w:rsidRPr="00981A00">
        <w:rPr>
          <w:lang w:eastAsia="en-US"/>
        </w:rPr>
        <w:t xml:space="preserve">The household survey data collection started on 04/09/2018 and completed on 11/10/2018 in the West Bank and Gaza Strip. The work was completed in Jerusalem (J1) on 29/10/2018. The data was collected by using tablets in the West Bank and Gaza Strip, while the paper </w:t>
      </w:r>
      <w:r w:rsidRPr="00981A00">
        <w:rPr>
          <w:lang w:eastAsia="en-US"/>
        </w:rPr>
        <w:lastRenderedPageBreak/>
        <w:t xml:space="preserve">forms were used in Jerusalem (J1). As for the </w:t>
      </w:r>
      <w:r w:rsidR="00FD620D">
        <w:rPr>
          <w:lang w:eastAsia="en-US"/>
        </w:rPr>
        <w:t>other questionnaire</w:t>
      </w:r>
      <w:r w:rsidR="00710727">
        <w:rPr>
          <w:lang w:eastAsia="en-US"/>
        </w:rPr>
        <w:t>s</w:t>
      </w:r>
      <w:r w:rsidRPr="00981A00">
        <w:rPr>
          <w:lang w:eastAsia="en-US"/>
        </w:rPr>
        <w:t>, the work started on 17/09/2018 and ended on 11/10/2018.</w:t>
      </w:r>
    </w:p>
    <w:p w:rsidR="00E5781C" w:rsidRPr="00981A00" w:rsidRDefault="00E5781C" w:rsidP="00150439">
      <w:pPr>
        <w:bidi w:val="0"/>
        <w:jc w:val="both"/>
        <w:rPr>
          <w:sz w:val="18"/>
          <w:szCs w:val="18"/>
          <w:lang w:eastAsia="en-US"/>
        </w:rPr>
      </w:pPr>
    </w:p>
    <w:p w:rsidR="00695B88" w:rsidRPr="00981A00" w:rsidRDefault="00695B88" w:rsidP="00150439">
      <w:pPr>
        <w:pStyle w:val="BodyTextIndent2"/>
        <w:bidi w:val="0"/>
        <w:ind w:left="0"/>
        <w:jc w:val="left"/>
        <w:rPr>
          <w:b/>
          <w:bCs/>
        </w:rPr>
      </w:pPr>
      <w:r w:rsidRPr="00981A00">
        <w:rPr>
          <w:b/>
          <w:bCs/>
        </w:rPr>
        <w:t>3.4.3 Field Editing and Supervising</w:t>
      </w:r>
    </w:p>
    <w:p w:rsidR="007E2CD3" w:rsidRPr="00981A00" w:rsidRDefault="007E2CD3" w:rsidP="00120BA0">
      <w:pPr>
        <w:pStyle w:val="ListParagraph"/>
        <w:numPr>
          <w:ilvl w:val="0"/>
          <w:numId w:val="40"/>
        </w:numPr>
        <w:bidi w:val="0"/>
        <w:ind w:left="426" w:hanging="284"/>
        <w:contextualSpacing/>
        <w:jc w:val="both"/>
        <w:rPr>
          <w:lang w:eastAsia="en-US"/>
        </w:rPr>
      </w:pPr>
      <w:r w:rsidRPr="00981A00">
        <w:rPr>
          <w:lang w:eastAsia="en-US"/>
        </w:rPr>
        <w:t>The data collection and field coordination have been Implemented according to the prepared plan, where instructions, models and tools are available for the fieldwork.</w:t>
      </w:r>
    </w:p>
    <w:p w:rsidR="007E2CD3" w:rsidRPr="00981A00" w:rsidRDefault="007E2CD3" w:rsidP="00120BA0">
      <w:pPr>
        <w:pStyle w:val="ListParagraph"/>
        <w:numPr>
          <w:ilvl w:val="0"/>
          <w:numId w:val="40"/>
        </w:numPr>
        <w:bidi w:val="0"/>
        <w:ind w:left="426" w:hanging="284"/>
        <w:contextualSpacing/>
        <w:jc w:val="both"/>
        <w:rPr>
          <w:lang w:eastAsia="en-US"/>
        </w:rPr>
      </w:pPr>
      <w:r w:rsidRPr="00981A00">
        <w:rPr>
          <w:lang w:eastAsia="en-US"/>
        </w:rPr>
        <w:t>Regarding the work on the tablets, the auditing process is done by putting all the  automated and desk auditing rules on the program in advance in order to cover all the controls which are required according to the criteria specified by the questionnaire.</w:t>
      </w:r>
    </w:p>
    <w:p w:rsidR="007E2CD3" w:rsidRPr="00981A00" w:rsidRDefault="007E2CD3" w:rsidP="00120BA0">
      <w:pPr>
        <w:pStyle w:val="ListParagraph"/>
        <w:numPr>
          <w:ilvl w:val="0"/>
          <w:numId w:val="40"/>
        </w:numPr>
        <w:bidi w:val="0"/>
        <w:ind w:left="426" w:hanging="284"/>
        <w:contextualSpacing/>
        <w:jc w:val="both"/>
        <w:rPr>
          <w:lang w:eastAsia="en-US"/>
        </w:rPr>
      </w:pPr>
      <w:r w:rsidRPr="00981A00">
        <w:rPr>
          <w:lang w:eastAsia="en-US"/>
        </w:rPr>
        <w:t>Due to the exceptional status of  Jerusalem questionnaires (J1), the data were collected in paper questionnaires. The supervisor verifies the questionnaires in a formal and technical manner according to the prepared audit rules.</w:t>
      </w:r>
    </w:p>
    <w:p w:rsidR="007E2CD3" w:rsidRPr="00981A00" w:rsidRDefault="007E2CD3" w:rsidP="00120BA0">
      <w:pPr>
        <w:pStyle w:val="ListParagraph"/>
        <w:numPr>
          <w:ilvl w:val="0"/>
          <w:numId w:val="40"/>
        </w:numPr>
        <w:bidi w:val="0"/>
        <w:ind w:left="426" w:hanging="284"/>
        <w:contextualSpacing/>
        <w:jc w:val="both"/>
        <w:rPr>
          <w:lang w:eastAsia="en-US"/>
        </w:rPr>
      </w:pPr>
      <w:r w:rsidRPr="00981A00">
        <w:rPr>
          <w:lang w:eastAsia="en-US"/>
        </w:rPr>
        <w:t>The field visits are conducted by the project management, project coordinator in order to monitor and evaluate the work process, to verify the questionnaires and the performance of the fieldworkers.</w:t>
      </w:r>
    </w:p>
    <w:p w:rsidR="00E5781C" w:rsidRPr="00981A00" w:rsidRDefault="00E5781C" w:rsidP="00900E32">
      <w:pPr>
        <w:tabs>
          <w:tab w:val="right" w:pos="284"/>
        </w:tabs>
        <w:bidi w:val="0"/>
        <w:ind w:left="426"/>
        <w:rPr>
          <w:sz w:val="18"/>
          <w:szCs w:val="18"/>
          <w:lang w:eastAsia="en-US"/>
        </w:rPr>
      </w:pPr>
    </w:p>
    <w:p w:rsidR="00695B88" w:rsidRPr="00981A00" w:rsidRDefault="00695B88" w:rsidP="00150439">
      <w:pPr>
        <w:pStyle w:val="BodyTextIndent2"/>
        <w:bidi w:val="0"/>
        <w:ind w:left="0"/>
        <w:jc w:val="left"/>
        <w:rPr>
          <w:b/>
          <w:bCs/>
        </w:rPr>
      </w:pPr>
      <w:r w:rsidRPr="00981A00">
        <w:rPr>
          <w:b/>
          <w:bCs/>
        </w:rPr>
        <w:t>3.4.4 Office Editing and Coding</w:t>
      </w:r>
    </w:p>
    <w:p w:rsidR="007E2CD3" w:rsidRPr="00981A00" w:rsidRDefault="007E2CD3" w:rsidP="00150439">
      <w:pPr>
        <w:bidi w:val="0"/>
        <w:jc w:val="both"/>
        <w:rPr>
          <w:rtl/>
          <w:lang w:eastAsia="en-US"/>
        </w:rPr>
      </w:pPr>
      <w:r w:rsidRPr="00981A00">
        <w:t>Office editing was conducted at Jerusalem office (J1) due to the fact of using paper questionnaires in collecting data. The rest of the questionnaires were checked in parallel with the data collection through continuous database editing on tablets</w:t>
      </w:r>
      <w:r w:rsidRPr="00981A00">
        <w:rPr>
          <w:rtl/>
          <w:lang w:eastAsia="en-US"/>
        </w:rPr>
        <w:t>.</w:t>
      </w:r>
    </w:p>
    <w:p w:rsidR="00E5781C" w:rsidRPr="00981A00" w:rsidRDefault="00E5781C" w:rsidP="004568FF">
      <w:pPr>
        <w:bidi w:val="0"/>
        <w:ind w:firstLine="720"/>
        <w:rPr>
          <w:sz w:val="18"/>
          <w:szCs w:val="18"/>
          <w:lang w:eastAsia="en-US"/>
        </w:rPr>
      </w:pPr>
    </w:p>
    <w:p w:rsidR="00695B88" w:rsidRPr="00981A00" w:rsidRDefault="00695B88" w:rsidP="00150439">
      <w:pPr>
        <w:pStyle w:val="Heading1"/>
        <w:bidi w:val="0"/>
        <w:jc w:val="left"/>
        <w:rPr>
          <w:rFonts w:ascii="Times New Roman" w:hAnsi="Times New Roman"/>
          <w:kern w:val="0"/>
          <w:sz w:val="24"/>
          <w:szCs w:val="24"/>
          <w:lang w:eastAsia="en-US"/>
        </w:rPr>
      </w:pPr>
      <w:r w:rsidRPr="00981A00">
        <w:rPr>
          <w:rFonts w:ascii="Times New Roman" w:hAnsi="Times New Roman"/>
          <w:kern w:val="0"/>
          <w:sz w:val="24"/>
          <w:szCs w:val="24"/>
          <w:lang w:eastAsia="en-US"/>
        </w:rPr>
        <w:t>3.5 Data Processing</w:t>
      </w:r>
    </w:p>
    <w:p w:rsidR="007E2CD3" w:rsidRPr="00981A00" w:rsidRDefault="007E2CD3" w:rsidP="00150439">
      <w:pPr>
        <w:bidi w:val="0"/>
        <w:jc w:val="both"/>
        <w:rPr>
          <w:lang w:eastAsia="en-US"/>
        </w:rPr>
      </w:pPr>
      <w:r w:rsidRPr="00981A00">
        <w:rPr>
          <w:lang w:eastAsia="en-US"/>
        </w:rPr>
        <w:t>The questionnaire is programmed on tablets in order to collect and store the data; thus, summarizing several stages where data is collected, checked and entered in a single stage</w:t>
      </w:r>
      <w:r w:rsidRPr="00981A00">
        <w:t>. This technique requires a high skill in using the equipment and an understanding of the questionnaire to find out all the options which are available to get correct and accurate data from the source, and it was used to collect the data in Gaza Strip and the West Bank, excluding Jerusalem (J1).</w:t>
      </w:r>
    </w:p>
    <w:p w:rsidR="00E5781C" w:rsidRPr="00981A00" w:rsidRDefault="00E5781C" w:rsidP="00150439">
      <w:pPr>
        <w:bidi w:val="0"/>
        <w:rPr>
          <w:sz w:val="18"/>
          <w:szCs w:val="18"/>
          <w:rtl/>
        </w:rPr>
      </w:pPr>
    </w:p>
    <w:p w:rsidR="00695B88" w:rsidRPr="00981A00" w:rsidRDefault="00695B88" w:rsidP="00150439">
      <w:pPr>
        <w:pStyle w:val="Heading1"/>
        <w:bidi w:val="0"/>
        <w:jc w:val="left"/>
        <w:rPr>
          <w:rFonts w:ascii="Times New Roman" w:hAnsi="Times New Roman"/>
          <w:kern w:val="0"/>
          <w:sz w:val="24"/>
          <w:szCs w:val="24"/>
          <w:lang w:eastAsia="en-US"/>
        </w:rPr>
      </w:pPr>
      <w:r w:rsidRPr="00981A00">
        <w:rPr>
          <w:rFonts w:ascii="Times New Roman" w:hAnsi="Times New Roman"/>
          <w:kern w:val="0"/>
          <w:sz w:val="24"/>
          <w:szCs w:val="24"/>
          <w:lang w:eastAsia="en-US"/>
        </w:rPr>
        <w:t>3.5.1 Programming Consistency Check</w:t>
      </w:r>
    </w:p>
    <w:p w:rsidR="00E13889" w:rsidRPr="00981A00" w:rsidRDefault="00E13889" w:rsidP="00150439">
      <w:pPr>
        <w:bidi w:val="0"/>
        <w:jc w:val="both"/>
        <w:rPr>
          <w:lang w:eastAsia="en-US"/>
        </w:rPr>
      </w:pPr>
      <w:r w:rsidRPr="00981A00">
        <w:rPr>
          <w:lang w:eastAsia="en-US"/>
        </w:rPr>
        <w:t xml:space="preserve">The work began data collection of the rule of law and access to justice survey by using the tablets in both the West Bank and Gaza Strip, excluding Jerusalem (J1), where the application was uploaded on the tablets by the technical support staff; the application contains the survey's questionnaire, in addition to aerial maps divided by the governorates, and the GPS navigation system was used. </w:t>
      </w:r>
    </w:p>
    <w:p w:rsidR="00B764C9" w:rsidRPr="00981A00" w:rsidRDefault="00B764C9" w:rsidP="00150439">
      <w:pPr>
        <w:bidi w:val="0"/>
        <w:jc w:val="both"/>
        <w:rPr>
          <w:sz w:val="18"/>
          <w:szCs w:val="18"/>
          <w:lang w:eastAsia="en-US"/>
        </w:rPr>
      </w:pPr>
    </w:p>
    <w:p w:rsidR="00E13889" w:rsidRPr="00981A00" w:rsidRDefault="00E13889" w:rsidP="00150439">
      <w:pPr>
        <w:bidi w:val="0"/>
        <w:jc w:val="both"/>
        <w:rPr>
          <w:lang w:eastAsia="en-US"/>
        </w:rPr>
      </w:pPr>
      <w:r w:rsidRPr="00981A00">
        <w:rPr>
          <w:lang w:eastAsia="en-US"/>
        </w:rPr>
        <w:t>The programming language which was used in the application is Sql Server and Microsoft dot Net, the data was transferred by using WIFI, so there was a safe passage for the data transfer by the use of the VPN, which is a tool for the data protection and transfer with an ease and access to the main server without any obstacles.</w:t>
      </w:r>
    </w:p>
    <w:p w:rsidR="00B764C9" w:rsidRPr="00981A00" w:rsidRDefault="00B764C9" w:rsidP="00150439">
      <w:pPr>
        <w:bidi w:val="0"/>
        <w:jc w:val="both"/>
        <w:rPr>
          <w:sz w:val="18"/>
          <w:szCs w:val="18"/>
          <w:lang w:eastAsia="en-US"/>
        </w:rPr>
      </w:pPr>
    </w:p>
    <w:p w:rsidR="00B764C9" w:rsidRPr="00981A00" w:rsidRDefault="00E13889" w:rsidP="00150439">
      <w:pPr>
        <w:bidi w:val="0"/>
        <w:jc w:val="both"/>
        <w:rPr>
          <w:lang w:eastAsia="en-US"/>
        </w:rPr>
      </w:pPr>
      <w:r w:rsidRPr="00981A00">
        <w:rPr>
          <w:lang w:eastAsia="en-US"/>
        </w:rPr>
        <w:t>A tracking and data retrieval system for the survey management and fieldwork was designed, through which the survey management can follow up the field and extract follow-up reports.</w:t>
      </w:r>
    </w:p>
    <w:p w:rsidR="00E13889" w:rsidRPr="00981A00" w:rsidRDefault="00E13889" w:rsidP="00B764C9">
      <w:pPr>
        <w:bidi w:val="0"/>
        <w:ind w:left="426"/>
        <w:jc w:val="both"/>
        <w:rPr>
          <w:sz w:val="18"/>
          <w:szCs w:val="18"/>
          <w:lang w:eastAsia="en-US"/>
        </w:rPr>
      </w:pPr>
      <w:r w:rsidRPr="00981A00">
        <w:rPr>
          <w:sz w:val="18"/>
          <w:szCs w:val="18"/>
          <w:lang w:eastAsia="en-US"/>
        </w:rPr>
        <w:t xml:space="preserve"> </w:t>
      </w:r>
    </w:p>
    <w:p w:rsidR="00695B88" w:rsidRPr="00981A00" w:rsidRDefault="00695B88" w:rsidP="00150439">
      <w:pPr>
        <w:pStyle w:val="Heading1"/>
        <w:bidi w:val="0"/>
        <w:jc w:val="left"/>
        <w:rPr>
          <w:rFonts w:ascii="Times New Roman" w:hAnsi="Times New Roman"/>
          <w:kern w:val="0"/>
          <w:sz w:val="24"/>
          <w:szCs w:val="24"/>
          <w:lang w:eastAsia="en-US"/>
        </w:rPr>
      </w:pPr>
      <w:r w:rsidRPr="00981A00">
        <w:rPr>
          <w:rFonts w:ascii="Times New Roman" w:hAnsi="Times New Roman"/>
          <w:kern w:val="0"/>
          <w:sz w:val="24"/>
          <w:szCs w:val="24"/>
          <w:lang w:eastAsia="en-US"/>
        </w:rPr>
        <w:t>3.5.2 Data Cleaning</w:t>
      </w:r>
    </w:p>
    <w:p w:rsidR="00E13889" w:rsidRDefault="00E13889" w:rsidP="00150439">
      <w:pPr>
        <w:bidi w:val="0"/>
        <w:jc w:val="both"/>
        <w:rPr>
          <w:lang w:eastAsia="en-US"/>
        </w:rPr>
      </w:pPr>
      <w:r w:rsidRPr="00981A00">
        <w:rPr>
          <w:lang w:eastAsia="en-US"/>
        </w:rPr>
        <w:t>After the completion of the entry and audit phase, the data is cleaned by conducting internal checks for out-of-scope answers as well as conducting comprehensive auditing rules through the use of the (SPSS) program in order to prepare a clean and accurate data which is ready for tabulation and dissemination.</w:t>
      </w:r>
    </w:p>
    <w:p w:rsidR="00151660" w:rsidRPr="00981A00" w:rsidRDefault="00151660" w:rsidP="00151660">
      <w:pPr>
        <w:bidi w:val="0"/>
        <w:jc w:val="both"/>
        <w:rPr>
          <w:lang w:eastAsia="en-US"/>
        </w:rPr>
      </w:pPr>
    </w:p>
    <w:p w:rsidR="00B60696" w:rsidRPr="00981A00" w:rsidRDefault="00B60696" w:rsidP="00800F6D">
      <w:pPr>
        <w:pStyle w:val="Heading1"/>
        <w:bidi w:val="0"/>
        <w:jc w:val="left"/>
        <w:rPr>
          <w:rFonts w:ascii="Times New Roman" w:hAnsi="Times New Roman"/>
          <w:kern w:val="0"/>
          <w:sz w:val="24"/>
          <w:szCs w:val="24"/>
          <w:lang w:eastAsia="en-US"/>
        </w:rPr>
      </w:pPr>
      <w:r w:rsidRPr="00981A00">
        <w:rPr>
          <w:rFonts w:ascii="Times New Roman" w:hAnsi="Times New Roman"/>
          <w:kern w:val="0"/>
          <w:sz w:val="24"/>
          <w:szCs w:val="24"/>
          <w:lang w:eastAsia="en-US"/>
        </w:rPr>
        <w:lastRenderedPageBreak/>
        <w:t>3.5.3 Tabulation</w:t>
      </w:r>
    </w:p>
    <w:p w:rsidR="00B60696" w:rsidRPr="00981A00" w:rsidRDefault="00B60696" w:rsidP="00150439">
      <w:pPr>
        <w:bidi w:val="0"/>
        <w:jc w:val="both"/>
      </w:pPr>
      <w:r w:rsidRPr="00981A00">
        <w:t>After finish</w:t>
      </w:r>
      <w:r w:rsidR="00E13889" w:rsidRPr="00981A00">
        <w:t>ing</w:t>
      </w:r>
      <w:r w:rsidRPr="00981A00">
        <w:t xml:space="preserve"> from check</w:t>
      </w:r>
      <w:r w:rsidR="00E13889" w:rsidRPr="00981A00">
        <w:t>ing</w:t>
      </w:r>
      <w:r w:rsidRPr="00981A00">
        <w:t xml:space="preserve"> and clean</w:t>
      </w:r>
      <w:r w:rsidR="00E13889" w:rsidRPr="00981A00">
        <w:t>ing</w:t>
      </w:r>
      <w:r w:rsidRPr="00981A00">
        <w:t xml:space="preserve"> any errors of data, tabulation </w:t>
      </w:r>
      <w:r w:rsidR="00E13889" w:rsidRPr="00981A00">
        <w:t>was</w:t>
      </w:r>
      <w:r w:rsidRPr="00981A00">
        <w:t xml:space="preserve"> prepared for this purpose</w:t>
      </w:r>
      <w:r w:rsidR="00E13889" w:rsidRPr="00981A00">
        <w:t xml:space="preserve"> and</w:t>
      </w:r>
      <w:r w:rsidRPr="00981A00">
        <w:t xml:space="preserve"> extracted accordingly.</w:t>
      </w:r>
    </w:p>
    <w:p w:rsidR="00B60696" w:rsidRPr="00981A00" w:rsidRDefault="00B60696" w:rsidP="00150439">
      <w:pPr>
        <w:bidi w:val="0"/>
      </w:pPr>
    </w:p>
    <w:p w:rsidR="00E5781C" w:rsidRPr="00981A00" w:rsidRDefault="00E5781C" w:rsidP="00847BF6">
      <w:pPr>
        <w:bidi w:val="0"/>
        <w:rPr>
          <w:rtl/>
          <w:lang w:eastAsia="en-US"/>
        </w:rPr>
      </w:pPr>
    </w:p>
    <w:p w:rsidR="00E5781C" w:rsidRPr="00AC476D" w:rsidRDefault="00E5781C" w:rsidP="00847BF6">
      <w:pPr>
        <w:pStyle w:val="Header"/>
        <w:tabs>
          <w:tab w:val="clear" w:pos="4153"/>
          <w:tab w:val="clear" w:pos="8306"/>
        </w:tabs>
        <w:bidi w:val="0"/>
        <w:rPr>
          <w:rFonts w:asciiTheme="majorBidi" w:hAnsiTheme="majorBidi" w:cstheme="majorBidi"/>
          <w:rtl/>
        </w:rPr>
      </w:pPr>
    </w:p>
    <w:p w:rsidR="00E5781C" w:rsidRPr="00AC476D" w:rsidRDefault="00E5781C" w:rsidP="00AC476D">
      <w:pPr>
        <w:bidi w:val="0"/>
        <w:rPr>
          <w:rFonts w:asciiTheme="majorBidi" w:hAnsiTheme="majorBidi" w:cstheme="majorBidi"/>
          <w:sz w:val="22"/>
          <w:szCs w:val="22"/>
          <w:rtl/>
        </w:rPr>
      </w:pPr>
    </w:p>
    <w:p w:rsidR="00E5781C" w:rsidRPr="00AC476D" w:rsidRDefault="00E5781C" w:rsidP="00AC476D">
      <w:pPr>
        <w:bidi w:val="0"/>
        <w:rPr>
          <w:rFonts w:asciiTheme="majorBidi" w:hAnsiTheme="majorBidi" w:cstheme="majorBidi"/>
          <w:sz w:val="22"/>
          <w:szCs w:val="22"/>
          <w:rtl/>
        </w:rPr>
      </w:pPr>
    </w:p>
    <w:p w:rsidR="00E5781C" w:rsidRPr="00AC476D" w:rsidRDefault="00E5781C" w:rsidP="00AC476D">
      <w:pPr>
        <w:bidi w:val="0"/>
        <w:rPr>
          <w:rFonts w:asciiTheme="majorBidi" w:hAnsiTheme="majorBidi" w:cstheme="majorBidi"/>
          <w:sz w:val="22"/>
          <w:szCs w:val="22"/>
          <w:rtl/>
        </w:rPr>
      </w:pPr>
    </w:p>
    <w:p w:rsidR="00E5781C" w:rsidRPr="00AC476D" w:rsidRDefault="00E5781C" w:rsidP="00AC476D">
      <w:pPr>
        <w:bidi w:val="0"/>
        <w:rPr>
          <w:rFonts w:asciiTheme="majorBidi" w:hAnsiTheme="majorBidi" w:cstheme="majorBidi"/>
          <w:sz w:val="22"/>
          <w:szCs w:val="22"/>
        </w:rPr>
      </w:pPr>
    </w:p>
    <w:p w:rsidR="00E5781C" w:rsidRPr="00AC476D" w:rsidRDefault="00E5781C" w:rsidP="00AC476D">
      <w:pPr>
        <w:bidi w:val="0"/>
        <w:rPr>
          <w:rFonts w:asciiTheme="majorBidi" w:hAnsiTheme="majorBidi" w:cstheme="majorBidi"/>
          <w:sz w:val="22"/>
          <w:szCs w:val="22"/>
          <w:rtl/>
        </w:rPr>
      </w:pPr>
    </w:p>
    <w:p w:rsidR="00847BF6" w:rsidRDefault="00847BF6">
      <w:pPr>
        <w:bidi w:val="0"/>
        <w:rPr>
          <w:rFonts w:asciiTheme="majorBidi" w:hAnsiTheme="majorBidi" w:cstheme="majorBidi"/>
        </w:rPr>
      </w:pPr>
      <w:r>
        <w:rPr>
          <w:rFonts w:asciiTheme="majorBidi" w:hAnsiTheme="majorBidi" w:cstheme="majorBidi"/>
        </w:rPr>
        <w:br w:type="page"/>
      </w:r>
    </w:p>
    <w:p w:rsidR="00460423" w:rsidRPr="00330045" w:rsidRDefault="00E5781C" w:rsidP="00847BF6">
      <w:pPr>
        <w:bidi w:val="0"/>
        <w:ind w:left="-1" w:right="57"/>
        <w:jc w:val="center"/>
        <w:rPr>
          <w:rtl/>
          <w:lang w:val="en-GB"/>
        </w:rPr>
      </w:pPr>
      <w:r w:rsidRPr="00330045">
        <w:lastRenderedPageBreak/>
        <w:t>Chapter Four</w:t>
      </w:r>
    </w:p>
    <w:p w:rsidR="00E5781C" w:rsidRPr="00330045" w:rsidRDefault="00E5781C" w:rsidP="00847BF6">
      <w:pPr>
        <w:bidi w:val="0"/>
        <w:jc w:val="center"/>
        <w:rPr>
          <w:rtl/>
          <w:lang w:val="en-GB"/>
        </w:rPr>
      </w:pPr>
    </w:p>
    <w:p w:rsidR="00E5781C" w:rsidRPr="00330045" w:rsidRDefault="00E5781C" w:rsidP="00847BF6">
      <w:pPr>
        <w:pStyle w:val="Title"/>
        <w:bidi w:val="0"/>
        <w:rPr>
          <w:rFonts w:ascii="Times New Roman" w:hAnsi="Times New Roman"/>
          <w:rtl/>
        </w:rPr>
      </w:pPr>
      <w:r w:rsidRPr="00330045">
        <w:rPr>
          <w:rFonts w:ascii="Times New Roman" w:hAnsi="Times New Roman"/>
          <w:sz w:val="28"/>
          <w:szCs w:val="28"/>
        </w:rPr>
        <w:t>The Quality</w:t>
      </w:r>
    </w:p>
    <w:p w:rsidR="00E5781C" w:rsidRPr="00330045" w:rsidRDefault="00E5781C" w:rsidP="00847BF6">
      <w:pPr>
        <w:pStyle w:val="Title"/>
        <w:bidi w:val="0"/>
        <w:rPr>
          <w:rFonts w:ascii="Times New Roman" w:hAnsi="Times New Roman"/>
          <w:rtl/>
        </w:rPr>
      </w:pPr>
    </w:p>
    <w:p w:rsidR="00E5781C" w:rsidRPr="00330045" w:rsidRDefault="00E5781C" w:rsidP="00AC476D">
      <w:pPr>
        <w:bidi w:val="0"/>
        <w:ind w:left="-1"/>
      </w:pPr>
    </w:p>
    <w:p w:rsidR="00E5781C" w:rsidRPr="00330045" w:rsidRDefault="00E5781C" w:rsidP="0050458E">
      <w:pPr>
        <w:pStyle w:val="Header"/>
        <w:tabs>
          <w:tab w:val="clear" w:pos="4153"/>
          <w:tab w:val="clear" w:pos="8306"/>
        </w:tabs>
        <w:bidi w:val="0"/>
        <w:jc w:val="both"/>
      </w:pPr>
      <w:r w:rsidRPr="00330045">
        <w:t>This Chapter deals with and assesses the quality of the data of the survey. This process is carried out through dealing with the procedures that guarantee data accuracy and reduce possible sampling  and non-sampling errors.</w:t>
      </w:r>
    </w:p>
    <w:p w:rsidR="00E5781C" w:rsidRPr="00330045" w:rsidRDefault="00E5781C" w:rsidP="00AC476D">
      <w:pPr>
        <w:bidi w:val="0"/>
        <w:ind w:left="-1"/>
        <w:rPr>
          <w:sz w:val="18"/>
          <w:szCs w:val="18"/>
          <w:rtl/>
        </w:rPr>
      </w:pPr>
    </w:p>
    <w:p w:rsidR="00E5781C" w:rsidRPr="00330045" w:rsidRDefault="00E5781C" w:rsidP="00AC476D">
      <w:pPr>
        <w:pStyle w:val="BodyTextIndent2"/>
        <w:numPr>
          <w:ilvl w:val="1"/>
          <w:numId w:val="27"/>
        </w:numPr>
        <w:bidi w:val="0"/>
        <w:ind w:left="426" w:right="990" w:hanging="426"/>
        <w:jc w:val="left"/>
        <w:rPr>
          <w:b/>
          <w:bCs/>
        </w:rPr>
      </w:pPr>
      <w:r w:rsidRPr="00330045">
        <w:rPr>
          <w:b/>
          <w:bCs/>
        </w:rPr>
        <w:t>Accuracy</w:t>
      </w:r>
    </w:p>
    <w:p w:rsidR="00E5781C" w:rsidRPr="00330045" w:rsidRDefault="00E5781C" w:rsidP="0050458E">
      <w:pPr>
        <w:bidi w:val="0"/>
        <w:jc w:val="both"/>
      </w:pPr>
      <w:r w:rsidRPr="00330045">
        <w:t>The data accuracy test includes multiple aspects of the survey, the most notably is sampling errors and non-sampling errors which refers to the staff and survey tools, as well as survey response rates and their most important impact on estimates. This section includes the following:</w:t>
      </w:r>
    </w:p>
    <w:p w:rsidR="00E5781C" w:rsidRPr="00330045" w:rsidRDefault="00E5781C" w:rsidP="00AC476D">
      <w:pPr>
        <w:bidi w:val="0"/>
        <w:rPr>
          <w:sz w:val="18"/>
          <w:szCs w:val="18"/>
          <w:rtl/>
        </w:rPr>
      </w:pPr>
    </w:p>
    <w:p w:rsidR="00E5781C" w:rsidRPr="00330045" w:rsidRDefault="00E5781C" w:rsidP="00AC476D">
      <w:pPr>
        <w:pStyle w:val="BodyTextIndent2"/>
        <w:numPr>
          <w:ilvl w:val="2"/>
          <w:numId w:val="27"/>
        </w:numPr>
        <w:tabs>
          <w:tab w:val="right" w:pos="284"/>
          <w:tab w:val="right" w:pos="567"/>
        </w:tabs>
        <w:bidi w:val="0"/>
        <w:ind w:left="284" w:right="990" w:hanging="284"/>
        <w:jc w:val="left"/>
        <w:rPr>
          <w:b/>
          <w:bCs/>
        </w:rPr>
      </w:pPr>
      <w:r w:rsidRPr="00330045">
        <w:rPr>
          <w:b/>
          <w:bCs/>
        </w:rPr>
        <w:t>Sampling Errors</w:t>
      </w:r>
    </w:p>
    <w:p w:rsidR="00E5781C" w:rsidRPr="00330045" w:rsidRDefault="00E5781C" w:rsidP="0050458E">
      <w:pPr>
        <w:bidi w:val="0"/>
        <w:jc w:val="both"/>
        <w:rPr>
          <w:rtl/>
        </w:rPr>
      </w:pPr>
      <w:r w:rsidRPr="00330045">
        <w:t>Th</w:t>
      </w:r>
      <w:r w:rsidR="00E13889" w:rsidRPr="00330045">
        <w:t>o</w:t>
      </w:r>
      <w:r w:rsidRPr="00330045">
        <w:t>se are errors that result from studying part (sample) of the society and not all society units. Since the survey</w:t>
      </w:r>
      <w:r w:rsidR="00E13889" w:rsidRPr="00330045">
        <w:t xml:space="preserve"> </w:t>
      </w:r>
      <w:r w:rsidRPr="00330045">
        <w:t>was conducted on a sample, sampling errors are expected to occur. To minimize sampling errors, a properly designed probability sample was used to calculate errors throughout the process. This means that for every unit of the society there is a probability to be selected in the sample. The variance was calculated to measure the impact on sample design for Palestine.</w:t>
      </w:r>
    </w:p>
    <w:p w:rsidR="00E5781C" w:rsidRPr="00C84E64" w:rsidRDefault="00E5781C" w:rsidP="00AC476D">
      <w:pPr>
        <w:tabs>
          <w:tab w:val="center" w:pos="4152"/>
        </w:tabs>
        <w:bidi w:val="0"/>
        <w:rPr>
          <w:rFonts w:asciiTheme="majorBidi" w:hAnsiTheme="majorBidi" w:cstheme="majorBidi"/>
          <w:sz w:val="18"/>
          <w:szCs w:val="18"/>
          <w:rtl/>
        </w:rPr>
      </w:pPr>
    </w:p>
    <w:p w:rsidR="00CF0959" w:rsidRPr="00EA7520" w:rsidRDefault="00CF0959" w:rsidP="00831777">
      <w:pPr>
        <w:bidi w:val="0"/>
        <w:jc w:val="center"/>
        <w:rPr>
          <w:rFonts w:ascii="Arial" w:hAnsi="Arial" w:cs="Arial"/>
          <w:b/>
          <w:bCs/>
          <w:sz w:val="22"/>
          <w:szCs w:val="22"/>
          <w:rtl/>
        </w:rPr>
      </w:pPr>
      <w:r w:rsidRPr="00EA7520">
        <w:rPr>
          <w:rFonts w:ascii="Arial" w:hAnsi="Arial" w:cs="Arial"/>
          <w:b/>
          <w:bCs/>
          <w:sz w:val="22"/>
          <w:szCs w:val="22"/>
        </w:rPr>
        <w:t xml:space="preserve">Percentage of </w:t>
      </w:r>
      <w:r w:rsidR="00DA7DF6">
        <w:rPr>
          <w:rFonts w:ascii="Arial" w:hAnsi="Arial" w:cs="Arial"/>
          <w:b/>
          <w:bCs/>
          <w:sz w:val="22"/>
          <w:szCs w:val="22"/>
        </w:rPr>
        <w:t>Persons</w:t>
      </w:r>
      <w:r w:rsidRPr="00EA7520">
        <w:rPr>
          <w:rFonts w:ascii="Arial" w:hAnsi="Arial" w:cs="Arial"/>
          <w:b/>
          <w:bCs/>
          <w:sz w:val="22"/>
          <w:szCs w:val="22"/>
        </w:rPr>
        <w:t xml:space="preserve"> (18 years and above) who </w:t>
      </w:r>
      <w:r w:rsidR="00E13889" w:rsidRPr="00EA7520">
        <w:rPr>
          <w:rFonts w:ascii="Arial" w:hAnsi="Arial" w:cs="Arial"/>
          <w:b/>
          <w:bCs/>
          <w:sz w:val="22"/>
          <w:szCs w:val="22"/>
        </w:rPr>
        <w:t>Approached</w:t>
      </w:r>
      <w:r w:rsidRPr="00EA7520">
        <w:rPr>
          <w:rFonts w:ascii="Arial" w:hAnsi="Arial" w:cs="Arial"/>
          <w:b/>
          <w:bCs/>
          <w:sz w:val="22"/>
          <w:szCs w:val="22"/>
        </w:rPr>
        <w:t xml:space="preserve">/ Called by or Interacted </w:t>
      </w:r>
      <w:r w:rsidR="00E13889" w:rsidRPr="00EA7520">
        <w:rPr>
          <w:rFonts w:ascii="Arial" w:hAnsi="Arial" w:cs="Arial"/>
          <w:b/>
          <w:bCs/>
          <w:sz w:val="22"/>
          <w:szCs w:val="22"/>
        </w:rPr>
        <w:t>wit</w:t>
      </w:r>
      <w:r w:rsidRPr="00EA7520">
        <w:rPr>
          <w:rFonts w:ascii="Arial" w:hAnsi="Arial" w:cs="Arial"/>
          <w:b/>
          <w:bCs/>
          <w:sz w:val="22"/>
          <w:szCs w:val="22"/>
        </w:rPr>
        <w:t>h the Palestinian Justice and Security Sector</w:t>
      </w:r>
      <w:r w:rsidR="00E13889" w:rsidRPr="00EA7520">
        <w:rPr>
          <w:rFonts w:ascii="Arial" w:hAnsi="Arial" w:cs="Arial"/>
          <w:b/>
          <w:bCs/>
          <w:sz w:val="22"/>
          <w:szCs w:val="22"/>
        </w:rPr>
        <w:t xml:space="preserve"> </w:t>
      </w:r>
      <w:r w:rsidRPr="00EA7520">
        <w:rPr>
          <w:rFonts w:ascii="Arial" w:hAnsi="Arial" w:cs="Arial"/>
          <w:b/>
          <w:bCs/>
          <w:sz w:val="22"/>
          <w:szCs w:val="22"/>
        </w:rPr>
        <w:t>during the Past 12 Months by Institution, September</w:t>
      </w:r>
      <w:r w:rsidR="00831777" w:rsidRPr="00EA7520">
        <w:rPr>
          <w:rFonts w:ascii="Arial" w:hAnsi="Arial" w:cs="Arial"/>
          <w:b/>
          <w:bCs/>
          <w:sz w:val="22"/>
          <w:szCs w:val="22"/>
        </w:rPr>
        <w:t>-</w:t>
      </w:r>
      <w:r w:rsidRPr="00EA7520">
        <w:rPr>
          <w:rFonts w:ascii="Arial" w:hAnsi="Arial" w:cs="Arial"/>
          <w:b/>
          <w:bCs/>
          <w:sz w:val="22"/>
          <w:szCs w:val="22"/>
        </w:rPr>
        <w:t>October 2018</w:t>
      </w:r>
    </w:p>
    <w:tbl>
      <w:tblPr>
        <w:tblW w:w="9072" w:type="dxa"/>
        <w:jc w:val="center"/>
        <w:tblLook w:val="04A0"/>
      </w:tblPr>
      <w:tblGrid>
        <w:gridCol w:w="2740"/>
        <w:gridCol w:w="992"/>
        <w:gridCol w:w="993"/>
        <w:gridCol w:w="992"/>
        <w:gridCol w:w="992"/>
        <w:gridCol w:w="1127"/>
        <w:gridCol w:w="1236"/>
      </w:tblGrid>
      <w:tr w:rsidR="00E5781C" w:rsidRPr="008D1952" w:rsidTr="00151660">
        <w:trPr>
          <w:trHeight w:val="340"/>
          <w:jc w:val="center"/>
        </w:trPr>
        <w:tc>
          <w:tcPr>
            <w:tcW w:w="3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831777" w:rsidP="000476F5">
            <w:pPr>
              <w:bidi w:val="0"/>
              <w:jc w:val="center"/>
              <w:rPr>
                <w:rFonts w:ascii="Arial" w:hAnsi="Arial" w:cs="Arial"/>
                <w:b/>
                <w:bCs/>
                <w:sz w:val="18"/>
                <w:szCs w:val="18"/>
                <w:lang w:eastAsia="en-US"/>
              </w:rPr>
            </w:pPr>
            <w:r w:rsidRPr="008D1952">
              <w:rPr>
                <w:rFonts w:ascii="Arial" w:hAnsi="Arial" w:cs="Arial"/>
                <w:b/>
                <w:bCs/>
                <w:sz w:val="18"/>
                <w:szCs w:val="18"/>
                <w:lang w:eastAsia="en-US"/>
              </w:rPr>
              <w:t>Palestinian</w:t>
            </w:r>
            <w:r w:rsidR="00CF0959" w:rsidRPr="008D1952">
              <w:rPr>
                <w:rFonts w:ascii="Arial" w:hAnsi="Arial" w:cs="Arial"/>
                <w:b/>
                <w:bCs/>
                <w:sz w:val="18"/>
                <w:szCs w:val="18"/>
                <w:lang w:eastAsia="en-US"/>
              </w:rPr>
              <w:t xml:space="preserve"> Security and Justice Institutions sector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E5781C" w:rsidP="000A42DF">
            <w:pPr>
              <w:bidi w:val="0"/>
              <w:jc w:val="center"/>
              <w:rPr>
                <w:rFonts w:ascii="Arial" w:hAnsi="Arial" w:cs="Arial"/>
                <w:b/>
                <w:bCs/>
                <w:sz w:val="18"/>
                <w:szCs w:val="18"/>
                <w:lang w:eastAsia="en-US"/>
              </w:rPr>
            </w:pPr>
            <w:r w:rsidRPr="008D1952">
              <w:rPr>
                <w:rFonts w:ascii="Arial" w:hAnsi="Arial" w:cs="Arial"/>
                <w:sz w:val="18"/>
                <w:szCs w:val="18"/>
              </w:rPr>
              <w:t>Estimate</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E5781C" w:rsidP="000A42DF">
            <w:pPr>
              <w:bidi w:val="0"/>
              <w:jc w:val="center"/>
              <w:rPr>
                <w:rFonts w:ascii="Arial" w:hAnsi="Arial" w:cs="Arial"/>
                <w:b/>
                <w:bCs/>
                <w:sz w:val="18"/>
                <w:szCs w:val="18"/>
                <w:rtl/>
                <w:lang w:eastAsia="en-US"/>
              </w:rPr>
            </w:pPr>
            <w:r w:rsidRPr="008D1952">
              <w:rPr>
                <w:rFonts w:ascii="Arial" w:hAnsi="Arial" w:cs="Arial"/>
                <w:sz w:val="18"/>
                <w:szCs w:val="18"/>
              </w:rPr>
              <w:t>Standard Error</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E5781C" w:rsidP="000A42DF">
            <w:pPr>
              <w:bidi w:val="0"/>
              <w:jc w:val="center"/>
              <w:rPr>
                <w:rFonts w:ascii="Arial" w:hAnsi="Arial" w:cs="Arial"/>
                <w:sz w:val="18"/>
                <w:szCs w:val="18"/>
              </w:rPr>
            </w:pPr>
            <w:r w:rsidRPr="008D1952">
              <w:rPr>
                <w:rFonts w:ascii="Arial" w:hAnsi="Arial" w:cs="Arial"/>
                <w:sz w:val="18"/>
                <w:szCs w:val="18"/>
              </w:rPr>
              <w:t>95% Confidence Interval</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E5781C" w:rsidP="000A42DF">
            <w:pPr>
              <w:bidi w:val="0"/>
              <w:jc w:val="center"/>
              <w:rPr>
                <w:rFonts w:ascii="Arial" w:hAnsi="Arial" w:cs="Arial"/>
                <w:sz w:val="18"/>
                <w:szCs w:val="18"/>
              </w:rPr>
            </w:pPr>
            <w:r w:rsidRPr="008D1952">
              <w:rPr>
                <w:rFonts w:ascii="Arial" w:hAnsi="Arial" w:cs="Arial"/>
                <w:sz w:val="18"/>
                <w:szCs w:val="18"/>
              </w:rPr>
              <w:t>Coefficient of Variation</w:t>
            </w:r>
          </w:p>
        </w:tc>
        <w:tc>
          <w:tcPr>
            <w:tcW w:w="11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CD575E" w:rsidP="000A42DF">
            <w:pPr>
              <w:bidi w:val="0"/>
              <w:jc w:val="center"/>
              <w:rPr>
                <w:rFonts w:ascii="Arial" w:hAnsi="Arial" w:cs="Arial"/>
                <w:sz w:val="18"/>
                <w:szCs w:val="18"/>
              </w:rPr>
            </w:pPr>
            <w:r w:rsidRPr="008D1952">
              <w:rPr>
                <w:rFonts w:ascii="Arial" w:hAnsi="Arial" w:cs="Arial"/>
                <w:b/>
                <w:bCs/>
                <w:sz w:val="18"/>
                <w:szCs w:val="18"/>
                <w:lang w:eastAsia="en-US"/>
              </w:rPr>
              <w:t>Unweighted Count</w:t>
            </w:r>
          </w:p>
        </w:tc>
      </w:tr>
      <w:tr w:rsidR="00E5781C" w:rsidRPr="008D1952" w:rsidTr="00151660">
        <w:trPr>
          <w:trHeight w:val="340"/>
          <w:jc w:val="center"/>
        </w:trPr>
        <w:tc>
          <w:tcPr>
            <w:tcW w:w="3660" w:type="dxa"/>
            <w:vMerge/>
            <w:tcBorders>
              <w:top w:val="single" w:sz="4" w:space="0" w:color="auto"/>
              <w:left w:val="single" w:sz="4" w:space="0" w:color="auto"/>
              <w:bottom w:val="single" w:sz="4" w:space="0" w:color="auto"/>
              <w:right w:val="single" w:sz="4" w:space="0" w:color="auto"/>
            </w:tcBorders>
            <w:vAlign w:val="center"/>
            <w:hideMark/>
          </w:tcPr>
          <w:p w:rsidR="00E5781C" w:rsidRPr="008D1952" w:rsidRDefault="00E5781C" w:rsidP="00AC476D">
            <w:pPr>
              <w:bidi w:val="0"/>
              <w:rPr>
                <w:rFonts w:ascii="Arial" w:hAnsi="Arial" w:cs="Arial"/>
                <w:b/>
                <w:bCs/>
                <w:sz w:val="18"/>
                <w:szCs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5781C" w:rsidRPr="008D1952" w:rsidRDefault="00E5781C" w:rsidP="00AC476D">
            <w:pPr>
              <w:bidi w:val="0"/>
              <w:rPr>
                <w:rFonts w:ascii="Arial" w:hAnsi="Arial" w:cs="Arial"/>
                <w:b/>
                <w:bCs/>
                <w:sz w:val="18"/>
                <w:szCs w:val="18"/>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5781C" w:rsidRPr="008D1952" w:rsidRDefault="00E5781C" w:rsidP="000A42DF">
            <w:pPr>
              <w:bidi w:val="0"/>
              <w:jc w:val="center"/>
              <w:rPr>
                <w:rFonts w:ascii="Arial" w:hAnsi="Arial" w:cs="Arial"/>
                <w:b/>
                <w:bCs/>
                <w:sz w:val="18"/>
                <w:szCs w:val="18"/>
                <w:lang w:eastAsia="en-US"/>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781C" w:rsidRPr="008D1952" w:rsidRDefault="00E5781C" w:rsidP="000A42DF">
            <w:pPr>
              <w:bidi w:val="0"/>
              <w:jc w:val="center"/>
              <w:rPr>
                <w:rFonts w:ascii="Arial" w:hAnsi="Arial" w:cs="Arial"/>
                <w:sz w:val="18"/>
                <w:szCs w:val="18"/>
              </w:rPr>
            </w:pPr>
            <w:r w:rsidRPr="008D1952">
              <w:rPr>
                <w:rFonts w:ascii="Arial" w:hAnsi="Arial" w:cs="Arial"/>
                <w:sz w:val="18"/>
                <w:szCs w:val="18"/>
              </w:rPr>
              <w:t>Lower</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781C" w:rsidRPr="008D1952" w:rsidRDefault="00E5781C" w:rsidP="000A42DF">
            <w:pPr>
              <w:bidi w:val="0"/>
              <w:jc w:val="center"/>
              <w:rPr>
                <w:rFonts w:ascii="Arial" w:hAnsi="Arial" w:cs="Arial"/>
                <w:sz w:val="18"/>
                <w:szCs w:val="18"/>
              </w:rPr>
            </w:pPr>
            <w:r w:rsidRPr="008D1952">
              <w:rPr>
                <w:rFonts w:ascii="Arial" w:hAnsi="Arial" w:cs="Arial"/>
                <w:sz w:val="18"/>
                <w:szCs w:val="18"/>
              </w:rPr>
              <w:t>Upper</w:t>
            </w: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E5781C" w:rsidRPr="008D1952" w:rsidRDefault="00E5781C" w:rsidP="00AC476D">
            <w:pPr>
              <w:bidi w:val="0"/>
              <w:rPr>
                <w:rFonts w:ascii="Arial" w:hAnsi="Arial" w:cs="Arial"/>
                <w:b/>
                <w:bCs/>
                <w:sz w:val="18"/>
                <w:szCs w:val="18"/>
                <w:lang w:eastAsia="en-US"/>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5781C" w:rsidRPr="008D1952" w:rsidRDefault="00E5781C" w:rsidP="00AC476D">
            <w:pPr>
              <w:bidi w:val="0"/>
              <w:rPr>
                <w:rFonts w:ascii="Arial" w:hAnsi="Arial" w:cs="Arial"/>
                <w:b/>
                <w:bCs/>
                <w:sz w:val="18"/>
                <w:szCs w:val="18"/>
                <w:lang w:eastAsia="en-US"/>
              </w:rPr>
            </w:pPr>
          </w:p>
        </w:tc>
      </w:tr>
      <w:tr w:rsidR="00CF0959" w:rsidRPr="008D1952" w:rsidTr="00151660">
        <w:trPr>
          <w:trHeight w:val="340"/>
          <w:jc w:val="center"/>
        </w:trPr>
        <w:tc>
          <w:tcPr>
            <w:tcW w:w="3660" w:type="dxa"/>
            <w:tcBorders>
              <w:top w:val="single" w:sz="4" w:space="0" w:color="auto"/>
              <w:left w:val="single" w:sz="4" w:space="0" w:color="auto"/>
              <w:right w:val="single" w:sz="4" w:space="0" w:color="auto"/>
            </w:tcBorders>
            <w:shd w:val="clear" w:color="auto" w:fill="auto"/>
            <w:vAlign w:val="center"/>
            <w:hideMark/>
          </w:tcPr>
          <w:p w:rsidR="00CF0959" w:rsidRPr="008D1952" w:rsidRDefault="00CF0959" w:rsidP="007F11C2">
            <w:pPr>
              <w:bidi w:val="0"/>
              <w:rPr>
                <w:rFonts w:ascii="Arial" w:hAnsi="Arial" w:cs="Arial"/>
                <w:sz w:val="18"/>
                <w:szCs w:val="18"/>
                <w:lang w:eastAsia="en-US"/>
              </w:rPr>
            </w:pPr>
            <w:r w:rsidRPr="008D1952">
              <w:rPr>
                <w:rFonts w:ascii="Arial" w:hAnsi="Arial" w:cs="Arial"/>
                <w:sz w:val="18"/>
                <w:szCs w:val="18"/>
                <w:lang w:eastAsia="en-US"/>
              </w:rPr>
              <w:t>Palestinian civil police</w:t>
            </w:r>
          </w:p>
        </w:tc>
        <w:tc>
          <w:tcPr>
            <w:tcW w:w="992" w:type="dxa"/>
            <w:tcBorders>
              <w:top w:val="single" w:sz="4" w:space="0" w:color="auto"/>
              <w:left w:val="single" w:sz="4" w:space="0" w:color="auto"/>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6.7%</w:t>
            </w:r>
          </w:p>
        </w:tc>
        <w:tc>
          <w:tcPr>
            <w:tcW w:w="993" w:type="dxa"/>
            <w:tcBorders>
              <w:top w:val="single" w:sz="4" w:space="0" w:color="auto"/>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.3%</w:t>
            </w:r>
          </w:p>
        </w:tc>
        <w:tc>
          <w:tcPr>
            <w:tcW w:w="992" w:type="dxa"/>
            <w:tcBorders>
              <w:top w:val="single" w:sz="4" w:space="0" w:color="auto"/>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6.1%</w:t>
            </w:r>
          </w:p>
        </w:tc>
        <w:tc>
          <w:tcPr>
            <w:tcW w:w="992" w:type="dxa"/>
            <w:tcBorders>
              <w:top w:val="single" w:sz="4" w:space="0" w:color="auto"/>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7.3%</w:t>
            </w:r>
          </w:p>
        </w:tc>
        <w:tc>
          <w:tcPr>
            <w:tcW w:w="1127" w:type="dxa"/>
            <w:tcBorders>
              <w:top w:val="single" w:sz="4" w:space="0" w:color="auto"/>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4.5%</w:t>
            </w:r>
          </w:p>
        </w:tc>
        <w:tc>
          <w:tcPr>
            <w:tcW w:w="1167" w:type="dxa"/>
            <w:tcBorders>
              <w:top w:val="single" w:sz="4" w:space="0" w:color="auto"/>
              <w:right w:val="single" w:sz="4" w:space="0" w:color="auto"/>
            </w:tcBorders>
            <w:shd w:val="clear" w:color="auto" w:fill="auto"/>
            <w:noWrap/>
            <w:vAlign w:val="center"/>
            <w:hideMark/>
          </w:tcPr>
          <w:p w:rsidR="00CF0959" w:rsidRPr="008D1952" w:rsidRDefault="00CF0959" w:rsidP="00151660">
            <w:pPr>
              <w:bidi w:val="0"/>
              <w:ind w:right="175"/>
              <w:jc w:val="right"/>
              <w:rPr>
                <w:rFonts w:ascii="Arial" w:hAnsi="Arial" w:cs="Arial"/>
                <w:sz w:val="18"/>
                <w:szCs w:val="18"/>
                <w:lang w:eastAsia="en-US"/>
              </w:rPr>
            </w:pPr>
            <w:r w:rsidRPr="008D1952">
              <w:rPr>
                <w:rFonts w:ascii="Arial" w:hAnsi="Arial" w:cs="Arial"/>
                <w:sz w:val="18"/>
                <w:szCs w:val="18"/>
                <w:lang w:eastAsia="en-US"/>
              </w:rPr>
              <w:t>747</w:t>
            </w:r>
          </w:p>
        </w:tc>
      </w:tr>
      <w:tr w:rsidR="00E5781C" w:rsidRPr="008D1952" w:rsidTr="00151660">
        <w:trPr>
          <w:trHeight w:val="340"/>
          <w:jc w:val="center"/>
        </w:trPr>
        <w:tc>
          <w:tcPr>
            <w:tcW w:w="3660" w:type="dxa"/>
            <w:tcBorders>
              <w:top w:val="nil"/>
              <w:left w:val="single" w:sz="4" w:space="0" w:color="auto"/>
              <w:right w:val="single" w:sz="4" w:space="0" w:color="auto"/>
            </w:tcBorders>
            <w:shd w:val="clear" w:color="auto" w:fill="auto"/>
            <w:vAlign w:val="center"/>
            <w:hideMark/>
          </w:tcPr>
          <w:p w:rsidR="00E5781C" w:rsidRPr="008D1952" w:rsidRDefault="00CF0959" w:rsidP="00AC476D">
            <w:pPr>
              <w:bidi w:val="0"/>
              <w:rPr>
                <w:rFonts w:ascii="Arial" w:hAnsi="Arial" w:cs="Arial"/>
                <w:sz w:val="18"/>
                <w:szCs w:val="18"/>
                <w:lang w:eastAsia="en-US"/>
              </w:rPr>
            </w:pPr>
            <w:r w:rsidRPr="008D1952">
              <w:rPr>
                <w:rFonts w:ascii="Arial" w:hAnsi="Arial" w:cs="Arial"/>
                <w:sz w:val="18"/>
                <w:szCs w:val="18"/>
                <w:lang w:eastAsia="en-US"/>
              </w:rPr>
              <w:t>Regular courts</w:t>
            </w:r>
          </w:p>
        </w:tc>
        <w:tc>
          <w:tcPr>
            <w:tcW w:w="992" w:type="dxa"/>
            <w:tcBorders>
              <w:top w:val="nil"/>
              <w:left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4.1%</w:t>
            </w:r>
          </w:p>
        </w:tc>
        <w:tc>
          <w:tcPr>
            <w:tcW w:w="993" w:type="dxa"/>
            <w:tcBorders>
              <w:top w:val="nil"/>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.2%</w:t>
            </w:r>
          </w:p>
        </w:tc>
        <w:tc>
          <w:tcPr>
            <w:tcW w:w="992" w:type="dxa"/>
            <w:tcBorders>
              <w:top w:val="nil"/>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3.7%</w:t>
            </w:r>
          </w:p>
        </w:tc>
        <w:tc>
          <w:tcPr>
            <w:tcW w:w="992" w:type="dxa"/>
            <w:tcBorders>
              <w:top w:val="nil"/>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4.6%</w:t>
            </w:r>
          </w:p>
        </w:tc>
        <w:tc>
          <w:tcPr>
            <w:tcW w:w="1127" w:type="dxa"/>
            <w:tcBorders>
              <w:top w:val="nil"/>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5.7%</w:t>
            </w:r>
          </w:p>
        </w:tc>
        <w:tc>
          <w:tcPr>
            <w:tcW w:w="1167" w:type="dxa"/>
            <w:tcBorders>
              <w:top w:val="nil"/>
              <w:right w:val="single" w:sz="4" w:space="0" w:color="auto"/>
            </w:tcBorders>
            <w:shd w:val="clear" w:color="auto" w:fill="auto"/>
            <w:noWrap/>
            <w:vAlign w:val="center"/>
            <w:hideMark/>
          </w:tcPr>
          <w:p w:rsidR="00E5781C" w:rsidRPr="008D1952" w:rsidRDefault="00E5781C" w:rsidP="00151660">
            <w:pPr>
              <w:bidi w:val="0"/>
              <w:ind w:right="175"/>
              <w:jc w:val="right"/>
              <w:rPr>
                <w:rFonts w:ascii="Arial" w:hAnsi="Arial" w:cs="Arial"/>
                <w:sz w:val="18"/>
                <w:szCs w:val="18"/>
                <w:lang w:eastAsia="en-US"/>
              </w:rPr>
            </w:pPr>
            <w:r w:rsidRPr="008D1952">
              <w:rPr>
                <w:rFonts w:ascii="Arial" w:hAnsi="Arial" w:cs="Arial"/>
                <w:sz w:val="18"/>
                <w:szCs w:val="18"/>
                <w:lang w:eastAsia="en-US"/>
              </w:rPr>
              <w:t>509</w:t>
            </w:r>
          </w:p>
        </w:tc>
      </w:tr>
      <w:tr w:rsidR="00E5781C" w:rsidRPr="008D1952" w:rsidTr="00151660">
        <w:trPr>
          <w:trHeight w:val="340"/>
          <w:jc w:val="center"/>
        </w:trPr>
        <w:tc>
          <w:tcPr>
            <w:tcW w:w="3660" w:type="dxa"/>
            <w:tcBorders>
              <w:top w:val="nil"/>
              <w:left w:val="single" w:sz="4" w:space="0" w:color="auto"/>
              <w:right w:val="single" w:sz="4" w:space="0" w:color="auto"/>
            </w:tcBorders>
            <w:shd w:val="clear" w:color="auto" w:fill="auto"/>
            <w:vAlign w:val="center"/>
            <w:hideMark/>
          </w:tcPr>
          <w:p w:rsidR="00E5781C" w:rsidRPr="008D1952" w:rsidRDefault="00CF0959" w:rsidP="00AC476D">
            <w:pPr>
              <w:bidi w:val="0"/>
              <w:rPr>
                <w:rFonts w:ascii="Arial" w:hAnsi="Arial" w:cs="Arial"/>
                <w:sz w:val="18"/>
                <w:szCs w:val="18"/>
                <w:lang w:eastAsia="en-US"/>
              </w:rPr>
            </w:pPr>
            <w:r w:rsidRPr="008D1952">
              <w:rPr>
                <w:rFonts w:ascii="Arial" w:hAnsi="Arial" w:cs="Arial"/>
                <w:sz w:val="18"/>
                <w:szCs w:val="18"/>
                <w:lang w:eastAsia="en-US"/>
              </w:rPr>
              <w:t>Sharia’ (religious) courts/Church courts</w:t>
            </w:r>
          </w:p>
        </w:tc>
        <w:tc>
          <w:tcPr>
            <w:tcW w:w="992" w:type="dxa"/>
            <w:tcBorders>
              <w:top w:val="nil"/>
              <w:left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4.7%</w:t>
            </w:r>
          </w:p>
        </w:tc>
        <w:tc>
          <w:tcPr>
            <w:tcW w:w="993" w:type="dxa"/>
            <w:tcBorders>
              <w:top w:val="nil"/>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.3%</w:t>
            </w:r>
          </w:p>
        </w:tc>
        <w:tc>
          <w:tcPr>
            <w:tcW w:w="992" w:type="dxa"/>
            <w:tcBorders>
              <w:top w:val="nil"/>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4.1%</w:t>
            </w:r>
          </w:p>
        </w:tc>
        <w:tc>
          <w:tcPr>
            <w:tcW w:w="992" w:type="dxa"/>
            <w:tcBorders>
              <w:top w:val="nil"/>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5.3%</w:t>
            </w:r>
          </w:p>
        </w:tc>
        <w:tc>
          <w:tcPr>
            <w:tcW w:w="1127" w:type="dxa"/>
            <w:tcBorders>
              <w:top w:val="nil"/>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6.9%</w:t>
            </w:r>
          </w:p>
        </w:tc>
        <w:tc>
          <w:tcPr>
            <w:tcW w:w="1167" w:type="dxa"/>
            <w:tcBorders>
              <w:top w:val="nil"/>
              <w:right w:val="single" w:sz="4" w:space="0" w:color="auto"/>
            </w:tcBorders>
            <w:shd w:val="clear" w:color="auto" w:fill="auto"/>
            <w:noWrap/>
            <w:vAlign w:val="center"/>
            <w:hideMark/>
          </w:tcPr>
          <w:p w:rsidR="00E5781C" w:rsidRPr="008D1952" w:rsidRDefault="00E5781C" w:rsidP="00151660">
            <w:pPr>
              <w:bidi w:val="0"/>
              <w:ind w:right="175"/>
              <w:jc w:val="right"/>
              <w:rPr>
                <w:rFonts w:ascii="Arial" w:hAnsi="Arial" w:cs="Arial"/>
                <w:sz w:val="18"/>
                <w:szCs w:val="18"/>
                <w:lang w:eastAsia="en-US"/>
              </w:rPr>
            </w:pPr>
            <w:r w:rsidRPr="008D1952">
              <w:rPr>
                <w:rFonts w:ascii="Arial" w:hAnsi="Arial" w:cs="Arial"/>
                <w:sz w:val="18"/>
                <w:szCs w:val="18"/>
                <w:lang w:eastAsia="en-US"/>
              </w:rPr>
              <w:t>466</w:t>
            </w:r>
          </w:p>
        </w:tc>
      </w:tr>
      <w:tr w:rsidR="00CF0959" w:rsidRPr="008D1952" w:rsidTr="00151660">
        <w:trPr>
          <w:trHeight w:val="340"/>
          <w:jc w:val="center"/>
        </w:trPr>
        <w:tc>
          <w:tcPr>
            <w:tcW w:w="3660" w:type="dxa"/>
            <w:tcBorders>
              <w:top w:val="nil"/>
              <w:left w:val="single" w:sz="4" w:space="0" w:color="auto"/>
              <w:right w:val="single" w:sz="4" w:space="0" w:color="auto"/>
            </w:tcBorders>
            <w:shd w:val="clear" w:color="auto" w:fill="auto"/>
            <w:vAlign w:val="center"/>
            <w:hideMark/>
          </w:tcPr>
          <w:p w:rsidR="00CF0959" w:rsidRPr="008D1952" w:rsidRDefault="00CF0959" w:rsidP="00AC476D">
            <w:pPr>
              <w:bidi w:val="0"/>
              <w:rPr>
                <w:rFonts w:ascii="Arial" w:hAnsi="Arial" w:cs="Arial"/>
                <w:sz w:val="18"/>
                <w:szCs w:val="18"/>
                <w:lang w:eastAsia="en-US"/>
              </w:rPr>
            </w:pPr>
            <w:r w:rsidRPr="008D1952">
              <w:rPr>
                <w:rFonts w:ascii="Arial" w:hAnsi="Arial" w:cs="Arial"/>
                <w:sz w:val="18"/>
                <w:szCs w:val="18"/>
                <w:lang w:eastAsia="en-US"/>
              </w:rPr>
              <w:t>Public prosecution</w:t>
            </w:r>
          </w:p>
        </w:tc>
        <w:tc>
          <w:tcPr>
            <w:tcW w:w="992" w:type="dxa"/>
            <w:tcBorders>
              <w:top w:val="nil"/>
              <w:left w:val="single" w:sz="4" w:space="0" w:color="auto"/>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1.5%</w:t>
            </w:r>
          </w:p>
        </w:tc>
        <w:tc>
          <w:tcPr>
            <w:tcW w:w="993"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.1%</w:t>
            </w:r>
          </w:p>
        </w:tc>
        <w:tc>
          <w:tcPr>
            <w:tcW w:w="992" w:type="dxa"/>
            <w:tcBorders>
              <w:top w:val="nil"/>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1.2%</w:t>
            </w:r>
          </w:p>
        </w:tc>
        <w:tc>
          <w:tcPr>
            <w:tcW w:w="992" w:type="dxa"/>
            <w:tcBorders>
              <w:top w:val="nil"/>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1.8%</w:t>
            </w:r>
          </w:p>
        </w:tc>
        <w:tc>
          <w:tcPr>
            <w:tcW w:w="1127" w:type="dxa"/>
            <w:tcBorders>
              <w:top w:val="nil"/>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9.7%</w:t>
            </w:r>
          </w:p>
        </w:tc>
        <w:tc>
          <w:tcPr>
            <w:tcW w:w="1167" w:type="dxa"/>
            <w:tcBorders>
              <w:top w:val="nil"/>
              <w:right w:val="single" w:sz="4" w:space="0" w:color="auto"/>
            </w:tcBorders>
            <w:shd w:val="clear" w:color="auto" w:fill="auto"/>
            <w:noWrap/>
            <w:vAlign w:val="center"/>
            <w:hideMark/>
          </w:tcPr>
          <w:p w:rsidR="00CF0959" w:rsidRPr="008D1952" w:rsidRDefault="00CF0959" w:rsidP="00151660">
            <w:pPr>
              <w:bidi w:val="0"/>
              <w:ind w:right="175"/>
              <w:jc w:val="right"/>
              <w:rPr>
                <w:rFonts w:ascii="Arial" w:hAnsi="Arial" w:cs="Arial"/>
                <w:sz w:val="18"/>
                <w:szCs w:val="18"/>
                <w:lang w:eastAsia="en-US"/>
              </w:rPr>
            </w:pPr>
            <w:r w:rsidRPr="008D1952">
              <w:rPr>
                <w:rFonts w:ascii="Arial" w:hAnsi="Arial" w:cs="Arial"/>
                <w:sz w:val="18"/>
                <w:szCs w:val="18"/>
                <w:lang w:eastAsia="en-US"/>
              </w:rPr>
              <w:t>168</w:t>
            </w:r>
          </w:p>
        </w:tc>
      </w:tr>
      <w:tr w:rsidR="00CF0959" w:rsidRPr="008D1952" w:rsidTr="00151660">
        <w:trPr>
          <w:trHeight w:val="340"/>
          <w:jc w:val="center"/>
        </w:trPr>
        <w:tc>
          <w:tcPr>
            <w:tcW w:w="3660" w:type="dxa"/>
            <w:tcBorders>
              <w:top w:val="nil"/>
              <w:left w:val="single" w:sz="4" w:space="0" w:color="auto"/>
              <w:right w:val="single" w:sz="4" w:space="0" w:color="auto"/>
            </w:tcBorders>
            <w:shd w:val="clear" w:color="auto" w:fill="auto"/>
            <w:vAlign w:val="center"/>
            <w:hideMark/>
          </w:tcPr>
          <w:p w:rsidR="00CF0959" w:rsidRPr="008D1952" w:rsidRDefault="00CF0959" w:rsidP="00AC476D">
            <w:pPr>
              <w:bidi w:val="0"/>
              <w:rPr>
                <w:rFonts w:ascii="Arial" w:hAnsi="Arial" w:cs="Arial"/>
                <w:sz w:val="18"/>
                <w:szCs w:val="18"/>
                <w:lang w:eastAsia="en-US"/>
              </w:rPr>
            </w:pPr>
            <w:r w:rsidRPr="008D1952">
              <w:rPr>
                <w:rFonts w:ascii="Arial" w:hAnsi="Arial" w:cs="Arial"/>
                <w:sz w:val="18"/>
                <w:szCs w:val="18"/>
                <w:lang w:eastAsia="en-US"/>
              </w:rPr>
              <w:t>Military courts</w:t>
            </w:r>
          </w:p>
        </w:tc>
        <w:tc>
          <w:tcPr>
            <w:tcW w:w="992" w:type="dxa"/>
            <w:tcBorders>
              <w:top w:val="nil"/>
              <w:left w:val="single" w:sz="4" w:space="0" w:color="auto"/>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.1%</w:t>
            </w:r>
          </w:p>
        </w:tc>
        <w:tc>
          <w:tcPr>
            <w:tcW w:w="993"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.0%</w:t>
            </w:r>
          </w:p>
        </w:tc>
        <w:tc>
          <w:tcPr>
            <w:tcW w:w="992"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.1%</w:t>
            </w:r>
          </w:p>
        </w:tc>
        <w:tc>
          <w:tcPr>
            <w:tcW w:w="992"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.2%</w:t>
            </w:r>
          </w:p>
        </w:tc>
        <w:tc>
          <w:tcPr>
            <w:tcW w:w="1127" w:type="dxa"/>
            <w:tcBorders>
              <w:top w:val="nil"/>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30.1%</w:t>
            </w:r>
          </w:p>
        </w:tc>
        <w:tc>
          <w:tcPr>
            <w:tcW w:w="1167" w:type="dxa"/>
            <w:tcBorders>
              <w:top w:val="nil"/>
              <w:right w:val="single" w:sz="4" w:space="0" w:color="auto"/>
            </w:tcBorders>
            <w:shd w:val="clear" w:color="auto" w:fill="auto"/>
            <w:noWrap/>
            <w:vAlign w:val="center"/>
            <w:hideMark/>
          </w:tcPr>
          <w:p w:rsidR="00CF0959" w:rsidRPr="008D1952" w:rsidRDefault="00CF0959" w:rsidP="00151660">
            <w:pPr>
              <w:bidi w:val="0"/>
              <w:ind w:right="175"/>
              <w:jc w:val="right"/>
              <w:rPr>
                <w:rFonts w:ascii="Arial" w:hAnsi="Arial" w:cs="Arial"/>
                <w:sz w:val="18"/>
                <w:szCs w:val="18"/>
                <w:lang w:eastAsia="en-US"/>
              </w:rPr>
            </w:pPr>
            <w:r w:rsidRPr="008D1952">
              <w:rPr>
                <w:rFonts w:ascii="Arial" w:hAnsi="Arial" w:cs="Arial"/>
                <w:sz w:val="18"/>
                <w:szCs w:val="18"/>
                <w:lang w:eastAsia="en-US"/>
              </w:rPr>
              <w:t>19</w:t>
            </w:r>
          </w:p>
        </w:tc>
      </w:tr>
      <w:tr w:rsidR="00CF0959" w:rsidRPr="008D1952" w:rsidTr="00151660">
        <w:trPr>
          <w:trHeight w:val="340"/>
          <w:jc w:val="center"/>
        </w:trPr>
        <w:tc>
          <w:tcPr>
            <w:tcW w:w="3660" w:type="dxa"/>
            <w:tcBorders>
              <w:top w:val="nil"/>
              <w:left w:val="single" w:sz="4" w:space="0" w:color="auto"/>
              <w:right w:val="single" w:sz="4" w:space="0" w:color="auto"/>
            </w:tcBorders>
            <w:shd w:val="clear" w:color="auto" w:fill="auto"/>
            <w:vAlign w:val="center"/>
            <w:hideMark/>
          </w:tcPr>
          <w:p w:rsidR="00CF0959" w:rsidRPr="008D1952" w:rsidRDefault="00CF0959" w:rsidP="00AC476D">
            <w:pPr>
              <w:bidi w:val="0"/>
              <w:rPr>
                <w:rFonts w:ascii="Arial" w:hAnsi="Arial" w:cs="Arial"/>
                <w:sz w:val="18"/>
                <w:szCs w:val="18"/>
                <w:lang w:eastAsia="en-US"/>
              </w:rPr>
            </w:pPr>
            <w:r w:rsidRPr="008D1952">
              <w:rPr>
                <w:rFonts w:ascii="Arial" w:hAnsi="Arial" w:cs="Arial"/>
                <w:sz w:val="18"/>
                <w:szCs w:val="18"/>
                <w:lang w:eastAsia="en-US"/>
              </w:rPr>
              <w:t>Palestinian security forces</w:t>
            </w:r>
          </w:p>
        </w:tc>
        <w:tc>
          <w:tcPr>
            <w:tcW w:w="992" w:type="dxa"/>
            <w:tcBorders>
              <w:top w:val="nil"/>
              <w:left w:val="single" w:sz="4" w:space="0" w:color="auto"/>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.6%</w:t>
            </w:r>
          </w:p>
        </w:tc>
        <w:tc>
          <w:tcPr>
            <w:tcW w:w="993"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.1%</w:t>
            </w:r>
          </w:p>
        </w:tc>
        <w:tc>
          <w:tcPr>
            <w:tcW w:w="992"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.4%</w:t>
            </w:r>
          </w:p>
        </w:tc>
        <w:tc>
          <w:tcPr>
            <w:tcW w:w="992"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.9%</w:t>
            </w:r>
          </w:p>
        </w:tc>
        <w:tc>
          <w:tcPr>
            <w:tcW w:w="1127" w:type="dxa"/>
            <w:tcBorders>
              <w:top w:val="nil"/>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19.0%</w:t>
            </w:r>
          </w:p>
        </w:tc>
        <w:tc>
          <w:tcPr>
            <w:tcW w:w="1167" w:type="dxa"/>
            <w:tcBorders>
              <w:top w:val="nil"/>
              <w:right w:val="single" w:sz="4" w:space="0" w:color="auto"/>
            </w:tcBorders>
            <w:shd w:val="clear" w:color="auto" w:fill="auto"/>
            <w:noWrap/>
            <w:vAlign w:val="center"/>
            <w:hideMark/>
          </w:tcPr>
          <w:p w:rsidR="00CF0959" w:rsidRPr="008D1952" w:rsidRDefault="00CF0959" w:rsidP="00151660">
            <w:pPr>
              <w:bidi w:val="0"/>
              <w:ind w:right="175"/>
              <w:jc w:val="right"/>
              <w:rPr>
                <w:rFonts w:ascii="Arial" w:hAnsi="Arial" w:cs="Arial"/>
                <w:sz w:val="18"/>
                <w:szCs w:val="18"/>
                <w:lang w:eastAsia="en-US"/>
              </w:rPr>
            </w:pPr>
            <w:r w:rsidRPr="008D1952">
              <w:rPr>
                <w:rFonts w:ascii="Arial" w:hAnsi="Arial" w:cs="Arial"/>
                <w:sz w:val="18"/>
                <w:szCs w:val="18"/>
                <w:lang w:eastAsia="en-US"/>
              </w:rPr>
              <w:t>68</w:t>
            </w:r>
          </w:p>
        </w:tc>
      </w:tr>
      <w:tr w:rsidR="00CF0959" w:rsidRPr="008D1952" w:rsidTr="00151660">
        <w:trPr>
          <w:trHeight w:val="340"/>
          <w:jc w:val="center"/>
        </w:trPr>
        <w:tc>
          <w:tcPr>
            <w:tcW w:w="3660" w:type="dxa"/>
            <w:tcBorders>
              <w:top w:val="nil"/>
              <w:left w:val="single" w:sz="4" w:space="0" w:color="auto"/>
              <w:right w:val="single" w:sz="4" w:space="0" w:color="auto"/>
            </w:tcBorders>
            <w:shd w:val="clear" w:color="auto" w:fill="auto"/>
            <w:vAlign w:val="center"/>
            <w:hideMark/>
          </w:tcPr>
          <w:p w:rsidR="00CF0959" w:rsidRPr="008D1952" w:rsidRDefault="00CF0959" w:rsidP="00AC476D">
            <w:pPr>
              <w:bidi w:val="0"/>
              <w:rPr>
                <w:rFonts w:ascii="Arial" w:hAnsi="Arial" w:cs="Arial"/>
                <w:sz w:val="18"/>
                <w:szCs w:val="18"/>
                <w:rtl/>
                <w:lang w:eastAsia="en-US"/>
              </w:rPr>
            </w:pPr>
            <w:r w:rsidRPr="008D1952">
              <w:rPr>
                <w:rFonts w:ascii="Arial" w:hAnsi="Arial" w:cs="Arial"/>
                <w:sz w:val="18"/>
                <w:szCs w:val="18"/>
                <w:lang w:eastAsia="en-US"/>
              </w:rPr>
              <w:t>Ministry of Justice</w:t>
            </w:r>
          </w:p>
        </w:tc>
        <w:tc>
          <w:tcPr>
            <w:tcW w:w="992" w:type="dxa"/>
            <w:tcBorders>
              <w:top w:val="nil"/>
              <w:left w:val="single" w:sz="4" w:space="0" w:color="auto"/>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.5%</w:t>
            </w:r>
          </w:p>
        </w:tc>
        <w:tc>
          <w:tcPr>
            <w:tcW w:w="993"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.1%</w:t>
            </w:r>
          </w:p>
        </w:tc>
        <w:tc>
          <w:tcPr>
            <w:tcW w:w="992"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.3%</w:t>
            </w:r>
          </w:p>
        </w:tc>
        <w:tc>
          <w:tcPr>
            <w:tcW w:w="992"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.7%</w:t>
            </w:r>
          </w:p>
        </w:tc>
        <w:tc>
          <w:tcPr>
            <w:tcW w:w="1127" w:type="dxa"/>
            <w:tcBorders>
              <w:top w:val="nil"/>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20.6%</w:t>
            </w:r>
          </w:p>
        </w:tc>
        <w:tc>
          <w:tcPr>
            <w:tcW w:w="1167" w:type="dxa"/>
            <w:tcBorders>
              <w:top w:val="nil"/>
              <w:right w:val="single" w:sz="4" w:space="0" w:color="auto"/>
            </w:tcBorders>
            <w:shd w:val="clear" w:color="auto" w:fill="auto"/>
            <w:noWrap/>
            <w:vAlign w:val="center"/>
            <w:hideMark/>
          </w:tcPr>
          <w:p w:rsidR="00CF0959" w:rsidRPr="008D1952" w:rsidRDefault="00CF0959" w:rsidP="00151660">
            <w:pPr>
              <w:bidi w:val="0"/>
              <w:ind w:right="175"/>
              <w:jc w:val="right"/>
              <w:rPr>
                <w:rFonts w:ascii="Arial" w:hAnsi="Arial" w:cs="Arial"/>
                <w:sz w:val="18"/>
                <w:szCs w:val="18"/>
                <w:lang w:eastAsia="en-US"/>
              </w:rPr>
            </w:pPr>
            <w:r w:rsidRPr="008D1952">
              <w:rPr>
                <w:rFonts w:ascii="Arial" w:hAnsi="Arial" w:cs="Arial"/>
                <w:sz w:val="18"/>
                <w:szCs w:val="18"/>
                <w:lang w:eastAsia="en-US"/>
              </w:rPr>
              <w:t>53</w:t>
            </w:r>
          </w:p>
        </w:tc>
      </w:tr>
      <w:tr w:rsidR="00CF0959" w:rsidRPr="008D1952" w:rsidTr="00151660">
        <w:trPr>
          <w:trHeight w:val="340"/>
          <w:jc w:val="center"/>
        </w:trPr>
        <w:tc>
          <w:tcPr>
            <w:tcW w:w="3660" w:type="dxa"/>
            <w:tcBorders>
              <w:top w:val="nil"/>
              <w:left w:val="single" w:sz="4" w:space="0" w:color="auto"/>
              <w:right w:val="single" w:sz="4" w:space="0" w:color="auto"/>
            </w:tcBorders>
            <w:shd w:val="clear" w:color="auto" w:fill="auto"/>
            <w:vAlign w:val="center"/>
            <w:hideMark/>
          </w:tcPr>
          <w:p w:rsidR="00CF0959" w:rsidRPr="008D1952" w:rsidRDefault="00CF0959" w:rsidP="00AC476D">
            <w:pPr>
              <w:bidi w:val="0"/>
              <w:rPr>
                <w:rFonts w:ascii="Arial" w:hAnsi="Arial" w:cs="Arial"/>
                <w:sz w:val="18"/>
                <w:szCs w:val="18"/>
                <w:lang w:eastAsia="en-US"/>
              </w:rPr>
            </w:pPr>
            <w:r w:rsidRPr="008D1952">
              <w:rPr>
                <w:rFonts w:ascii="Arial" w:hAnsi="Arial" w:cs="Arial"/>
                <w:sz w:val="18"/>
                <w:szCs w:val="18"/>
                <w:lang w:eastAsia="en-US"/>
              </w:rPr>
              <w:t>Ministry of Interior</w:t>
            </w:r>
          </w:p>
        </w:tc>
        <w:tc>
          <w:tcPr>
            <w:tcW w:w="992" w:type="dxa"/>
            <w:tcBorders>
              <w:top w:val="nil"/>
              <w:left w:val="single" w:sz="4" w:space="0" w:color="auto"/>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8.4%</w:t>
            </w:r>
          </w:p>
        </w:tc>
        <w:tc>
          <w:tcPr>
            <w:tcW w:w="993"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.5%</w:t>
            </w:r>
          </w:p>
        </w:tc>
        <w:tc>
          <w:tcPr>
            <w:tcW w:w="992" w:type="dxa"/>
            <w:tcBorders>
              <w:top w:val="nil"/>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7.5%</w:t>
            </w:r>
          </w:p>
        </w:tc>
        <w:tc>
          <w:tcPr>
            <w:tcW w:w="992" w:type="dxa"/>
            <w:tcBorders>
              <w:top w:val="nil"/>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9.3%</w:t>
            </w:r>
          </w:p>
        </w:tc>
        <w:tc>
          <w:tcPr>
            <w:tcW w:w="1127" w:type="dxa"/>
            <w:tcBorders>
              <w:top w:val="nil"/>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5.6%</w:t>
            </w:r>
          </w:p>
        </w:tc>
        <w:tc>
          <w:tcPr>
            <w:tcW w:w="1167" w:type="dxa"/>
            <w:tcBorders>
              <w:top w:val="nil"/>
              <w:right w:val="single" w:sz="4" w:space="0" w:color="auto"/>
            </w:tcBorders>
            <w:shd w:val="clear" w:color="auto" w:fill="auto"/>
            <w:noWrap/>
            <w:vAlign w:val="center"/>
            <w:hideMark/>
          </w:tcPr>
          <w:p w:rsidR="00CF0959" w:rsidRPr="008D1952" w:rsidRDefault="00CF0959" w:rsidP="00151660">
            <w:pPr>
              <w:bidi w:val="0"/>
              <w:ind w:right="175"/>
              <w:jc w:val="right"/>
              <w:rPr>
                <w:rFonts w:ascii="Arial" w:hAnsi="Arial" w:cs="Arial"/>
                <w:sz w:val="18"/>
                <w:szCs w:val="18"/>
                <w:lang w:eastAsia="en-US"/>
              </w:rPr>
            </w:pPr>
            <w:r w:rsidRPr="008D1952">
              <w:rPr>
                <w:rFonts w:ascii="Arial" w:hAnsi="Arial" w:cs="Arial"/>
                <w:sz w:val="18"/>
                <w:szCs w:val="18"/>
                <w:lang w:eastAsia="en-US"/>
              </w:rPr>
              <w:t>963</w:t>
            </w:r>
          </w:p>
        </w:tc>
      </w:tr>
      <w:tr w:rsidR="00CF0959" w:rsidRPr="008D1952" w:rsidTr="00151660">
        <w:trPr>
          <w:trHeight w:val="340"/>
          <w:jc w:val="center"/>
        </w:trPr>
        <w:tc>
          <w:tcPr>
            <w:tcW w:w="3660" w:type="dxa"/>
            <w:tcBorders>
              <w:top w:val="nil"/>
              <w:left w:val="single" w:sz="4" w:space="0" w:color="auto"/>
              <w:right w:val="single" w:sz="4" w:space="0" w:color="auto"/>
            </w:tcBorders>
            <w:shd w:val="clear" w:color="auto" w:fill="auto"/>
            <w:vAlign w:val="center"/>
            <w:hideMark/>
          </w:tcPr>
          <w:p w:rsidR="00CF0959" w:rsidRPr="008D1952" w:rsidRDefault="00CF0959" w:rsidP="00AC476D">
            <w:pPr>
              <w:bidi w:val="0"/>
              <w:rPr>
                <w:rFonts w:ascii="Arial" w:hAnsi="Arial" w:cs="Arial"/>
                <w:sz w:val="18"/>
                <w:szCs w:val="18"/>
                <w:lang w:eastAsia="en-US"/>
              </w:rPr>
            </w:pPr>
            <w:r w:rsidRPr="008D1952">
              <w:rPr>
                <w:rFonts w:ascii="Arial" w:hAnsi="Arial" w:cs="Arial"/>
                <w:sz w:val="18"/>
                <w:szCs w:val="18"/>
                <w:lang w:eastAsia="en-US"/>
              </w:rPr>
              <w:t>Informal mechanisms</w:t>
            </w:r>
          </w:p>
        </w:tc>
        <w:tc>
          <w:tcPr>
            <w:tcW w:w="992" w:type="dxa"/>
            <w:tcBorders>
              <w:top w:val="nil"/>
              <w:left w:val="single" w:sz="4" w:space="0" w:color="auto"/>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.4%</w:t>
            </w:r>
          </w:p>
        </w:tc>
        <w:tc>
          <w:tcPr>
            <w:tcW w:w="993"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.1%</w:t>
            </w:r>
          </w:p>
        </w:tc>
        <w:tc>
          <w:tcPr>
            <w:tcW w:w="992"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.2%</w:t>
            </w:r>
          </w:p>
        </w:tc>
        <w:tc>
          <w:tcPr>
            <w:tcW w:w="992" w:type="dxa"/>
            <w:tcBorders>
              <w:top w:val="nil"/>
            </w:tcBorders>
            <w:shd w:val="clear" w:color="auto" w:fill="auto"/>
            <w:noWrap/>
            <w:vAlign w:val="center"/>
            <w:hideMark/>
          </w:tcPr>
          <w:p w:rsidR="00CF0959"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CF0959" w:rsidRPr="008D1952">
              <w:rPr>
                <w:rFonts w:ascii="Arial" w:hAnsi="Arial" w:cs="Arial"/>
                <w:sz w:val="18"/>
                <w:szCs w:val="18"/>
                <w:lang w:eastAsia="en-US"/>
              </w:rPr>
              <w:t>.5%</w:t>
            </w:r>
          </w:p>
        </w:tc>
        <w:tc>
          <w:tcPr>
            <w:tcW w:w="1127" w:type="dxa"/>
            <w:tcBorders>
              <w:top w:val="nil"/>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21.7%</w:t>
            </w:r>
          </w:p>
        </w:tc>
        <w:tc>
          <w:tcPr>
            <w:tcW w:w="1167" w:type="dxa"/>
            <w:tcBorders>
              <w:top w:val="nil"/>
              <w:right w:val="single" w:sz="4" w:space="0" w:color="auto"/>
            </w:tcBorders>
            <w:shd w:val="clear" w:color="auto" w:fill="auto"/>
            <w:noWrap/>
            <w:vAlign w:val="center"/>
            <w:hideMark/>
          </w:tcPr>
          <w:p w:rsidR="00CF0959" w:rsidRPr="008D1952" w:rsidRDefault="00CF0959" w:rsidP="00151660">
            <w:pPr>
              <w:bidi w:val="0"/>
              <w:ind w:right="175"/>
              <w:jc w:val="right"/>
              <w:rPr>
                <w:rFonts w:ascii="Arial" w:hAnsi="Arial" w:cs="Arial"/>
                <w:sz w:val="18"/>
                <w:szCs w:val="18"/>
                <w:lang w:eastAsia="en-US"/>
              </w:rPr>
            </w:pPr>
            <w:r w:rsidRPr="008D1952">
              <w:rPr>
                <w:rFonts w:ascii="Arial" w:hAnsi="Arial" w:cs="Arial"/>
                <w:sz w:val="18"/>
                <w:szCs w:val="18"/>
                <w:lang w:eastAsia="en-US"/>
              </w:rPr>
              <w:t>42</w:t>
            </w:r>
          </w:p>
        </w:tc>
      </w:tr>
      <w:tr w:rsidR="00CF0959" w:rsidRPr="008D1952" w:rsidTr="00151660">
        <w:trPr>
          <w:trHeight w:val="340"/>
          <w:jc w:val="center"/>
        </w:trPr>
        <w:tc>
          <w:tcPr>
            <w:tcW w:w="3660" w:type="dxa"/>
            <w:tcBorders>
              <w:top w:val="nil"/>
              <w:left w:val="single" w:sz="4" w:space="0" w:color="auto"/>
              <w:bottom w:val="single" w:sz="4" w:space="0" w:color="auto"/>
              <w:right w:val="single" w:sz="4" w:space="0" w:color="auto"/>
            </w:tcBorders>
            <w:shd w:val="clear" w:color="auto" w:fill="auto"/>
            <w:vAlign w:val="center"/>
            <w:hideMark/>
          </w:tcPr>
          <w:p w:rsidR="00CF0959" w:rsidRPr="008D1952" w:rsidRDefault="00CF0959" w:rsidP="00AC476D">
            <w:pPr>
              <w:bidi w:val="0"/>
              <w:rPr>
                <w:rFonts w:ascii="Arial" w:hAnsi="Arial" w:cs="Arial"/>
                <w:sz w:val="18"/>
                <w:szCs w:val="18"/>
                <w:lang w:eastAsia="en-US"/>
              </w:rPr>
            </w:pPr>
            <w:r w:rsidRPr="008D1952">
              <w:rPr>
                <w:rFonts w:ascii="Arial" w:hAnsi="Arial" w:cs="Arial"/>
                <w:sz w:val="18"/>
                <w:szCs w:val="18"/>
                <w:lang w:eastAsia="en-US"/>
              </w:rPr>
              <w:t>Tribal justice</w:t>
            </w:r>
          </w:p>
        </w:tc>
        <w:tc>
          <w:tcPr>
            <w:tcW w:w="992" w:type="dxa"/>
            <w:tcBorders>
              <w:top w:val="nil"/>
              <w:left w:val="single" w:sz="4" w:space="0" w:color="auto"/>
              <w:bottom w:val="single" w:sz="4" w:space="0" w:color="auto"/>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1.9%</w:t>
            </w:r>
          </w:p>
        </w:tc>
        <w:tc>
          <w:tcPr>
            <w:tcW w:w="993" w:type="dxa"/>
            <w:tcBorders>
              <w:top w:val="nil"/>
              <w:bottom w:val="single" w:sz="4" w:space="0" w:color="auto"/>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.2%</w:t>
            </w:r>
          </w:p>
        </w:tc>
        <w:tc>
          <w:tcPr>
            <w:tcW w:w="992" w:type="dxa"/>
            <w:tcBorders>
              <w:top w:val="nil"/>
              <w:bottom w:val="single" w:sz="4" w:space="0" w:color="auto"/>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1.6%</w:t>
            </w:r>
          </w:p>
        </w:tc>
        <w:tc>
          <w:tcPr>
            <w:tcW w:w="992" w:type="dxa"/>
            <w:tcBorders>
              <w:top w:val="nil"/>
              <w:bottom w:val="single" w:sz="4" w:space="0" w:color="auto"/>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2.4%</w:t>
            </w:r>
          </w:p>
        </w:tc>
        <w:tc>
          <w:tcPr>
            <w:tcW w:w="1127" w:type="dxa"/>
            <w:tcBorders>
              <w:top w:val="nil"/>
              <w:bottom w:val="single" w:sz="4" w:space="0" w:color="auto"/>
            </w:tcBorders>
            <w:shd w:val="clear" w:color="auto" w:fill="auto"/>
            <w:noWrap/>
            <w:vAlign w:val="center"/>
            <w:hideMark/>
          </w:tcPr>
          <w:p w:rsidR="00CF0959" w:rsidRPr="008D1952" w:rsidRDefault="00CF0959" w:rsidP="00151660">
            <w:pPr>
              <w:bidi w:val="0"/>
              <w:jc w:val="right"/>
              <w:rPr>
                <w:rFonts w:ascii="Arial" w:hAnsi="Arial" w:cs="Arial"/>
                <w:sz w:val="18"/>
                <w:szCs w:val="18"/>
                <w:lang w:eastAsia="en-US"/>
              </w:rPr>
            </w:pPr>
            <w:r w:rsidRPr="008D1952">
              <w:rPr>
                <w:rFonts w:ascii="Arial" w:hAnsi="Arial" w:cs="Arial"/>
                <w:sz w:val="18"/>
                <w:szCs w:val="18"/>
                <w:lang w:eastAsia="en-US"/>
              </w:rPr>
              <w:t>10.6%</w:t>
            </w:r>
          </w:p>
        </w:tc>
        <w:tc>
          <w:tcPr>
            <w:tcW w:w="1167" w:type="dxa"/>
            <w:tcBorders>
              <w:top w:val="nil"/>
              <w:bottom w:val="single" w:sz="4" w:space="0" w:color="auto"/>
              <w:right w:val="single" w:sz="4" w:space="0" w:color="auto"/>
            </w:tcBorders>
            <w:shd w:val="clear" w:color="auto" w:fill="auto"/>
            <w:noWrap/>
            <w:vAlign w:val="center"/>
            <w:hideMark/>
          </w:tcPr>
          <w:p w:rsidR="00CF0959" w:rsidRPr="008D1952" w:rsidRDefault="00CF0959" w:rsidP="00151660">
            <w:pPr>
              <w:bidi w:val="0"/>
              <w:ind w:right="175"/>
              <w:jc w:val="right"/>
              <w:rPr>
                <w:rFonts w:ascii="Arial" w:hAnsi="Arial" w:cs="Arial"/>
                <w:sz w:val="18"/>
                <w:szCs w:val="18"/>
                <w:lang w:eastAsia="en-US"/>
              </w:rPr>
            </w:pPr>
            <w:r w:rsidRPr="008D1952">
              <w:rPr>
                <w:rFonts w:ascii="Arial" w:hAnsi="Arial" w:cs="Arial"/>
                <w:sz w:val="18"/>
                <w:szCs w:val="18"/>
                <w:lang w:eastAsia="en-US"/>
              </w:rPr>
              <w:t>211</w:t>
            </w:r>
          </w:p>
        </w:tc>
      </w:tr>
    </w:tbl>
    <w:p w:rsidR="00CF0959" w:rsidRPr="000476F5" w:rsidRDefault="00CF0959" w:rsidP="00AC476D">
      <w:pPr>
        <w:bidi w:val="0"/>
        <w:rPr>
          <w:rFonts w:asciiTheme="majorBidi" w:hAnsiTheme="majorBidi" w:cstheme="majorBidi"/>
          <w:b/>
          <w:bCs/>
        </w:rPr>
      </w:pPr>
    </w:p>
    <w:p w:rsidR="0050458E" w:rsidRDefault="0050458E" w:rsidP="000A42DF">
      <w:pPr>
        <w:bidi w:val="0"/>
        <w:jc w:val="center"/>
        <w:rPr>
          <w:rFonts w:asciiTheme="majorBidi" w:hAnsiTheme="majorBidi" w:cstheme="majorBidi"/>
          <w:b/>
          <w:bCs/>
        </w:rPr>
      </w:pPr>
    </w:p>
    <w:p w:rsidR="0050458E" w:rsidRDefault="0050458E" w:rsidP="0050458E">
      <w:pPr>
        <w:bidi w:val="0"/>
        <w:jc w:val="center"/>
        <w:rPr>
          <w:rFonts w:asciiTheme="majorBidi" w:hAnsiTheme="majorBidi" w:cstheme="majorBidi"/>
          <w:b/>
          <w:bCs/>
        </w:rPr>
      </w:pPr>
    </w:p>
    <w:p w:rsidR="004568FF" w:rsidRDefault="004568FF" w:rsidP="004568FF">
      <w:pPr>
        <w:bidi w:val="0"/>
        <w:jc w:val="center"/>
        <w:rPr>
          <w:rFonts w:asciiTheme="majorBidi" w:hAnsiTheme="majorBidi" w:cstheme="majorBidi"/>
          <w:b/>
          <w:bCs/>
        </w:rPr>
      </w:pPr>
    </w:p>
    <w:p w:rsidR="0050458E" w:rsidRDefault="0050458E" w:rsidP="0050458E">
      <w:pPr>
        <w:bidi w:val="0"/>
        <w:jc w:val="center"/>
        <w:rPr>
          <w:rFonts w:asciiTheme="majorBidi" w:hAnsiTheme="majorBidi" w:cstheme="majorBidi"/>
          <w:b/>
          <w:bCs/>
        </w:rPr>
      </w:pPr>
    </w:p>
    <w:p w:rsidR="00EA7520" w:rsidRDefault="00EA7520" w:rsidP="00EA7520">
      <w:pPr>
        <w:bidi w:val="0"/>
        <w:jc w:val="center"/>
        <w:rPr>
          <w:rFonts w:asciiTheme="majorBidi" w:hAnsiTheme="majorBidi" w:cstheme="majorBidi"/>
          <w:b/>
          <w:bCs/>
        </w:rPr>
      </w:pPr>
    </w:p>
    <w:p w:rsidR="00EA7520" w:rsidRDefault="00EA7520" w:rsidP="00EA7520">
      <w:pPr>
        <w:bidi w:val="0"/>
        <w:jc w:val="center"/>
        <w:rPr>
          <w:rFonts w:asciiTheme="majorBidi" w:hAnsiTheme="majorBidi" w:cstheme="majorBidi"/>
          <w:b/>
          <w:bCs/>
        </w:rPr>
      </w:pPr>
    </w:p>
    <w:p w:rsidR="00151660" w:rsidRDefault="00151660">
      <w:pPr>
        <w:bidi w:val="0"/>
        <w:rPr>
          <w:rFonts w:ascii="Arial" w:hAnsi="Arial" w:cs="Arial"/>
          <w:b/>
          <w:bCs/>
          <w:sz w:val="22"/>
          <w:szCs w:val="22"/>
        </w:rPr>
      </w:pPr>
      <w:r>
        <w:rPr>
          <w:rFonts w:ascii="Arial" w:hAnsi="Arial" w:cs="Arial"/>
          <w:b/>
          <w:bCs/>
          <w:sz w:val="22"/>
          <w:szCs w:val="22"/>
        </w:rPr>
        <w:br w:type="page"/>
      </w:r>
    </w:p>
    <w:p w:rsidR="00CF0959" w:rsidRDefault="00CF0959" w:rsidP="0050458E">
      <w:pPr>
        <w:bidi w:val="0"/>
        <w:jc w:val="center"/>
        <w:rPr>
          <w:rFonts w:ascii="Arial" w:hAnsi="Arial" w:cs="Arial"/>
          <w:b/>
          <w:bCs/>
          <w:sz w:val="22"/>
          <w:szCs w:val="22"/>
        </w:rPr>
      </w:pPr>
      <w:r w:rsidRPr="00EA7520">
        <w:rPr>
          <w:rFonts w:ascii="Arial" w:hAnsi="Arial" w:cs="Arial"/>
          <w:b/>
          <w:bCs/>
          <w:sz w:val="22"/>
          <w:szCs w:val="22"/>
        </w:rPr>
        <w:lastRenderedPageBreak/>
        <w:t xml:space="preserve">Percentage of </w:t>
      </w:r>
      <w:r w:rsidR="00DA7DF6">
        <w:rPr>
          <w:rFonts w:ascii="Arial" w:hAnsi="Arial" w:cs="Arial"/>
          <w:b/>
          <w:bCs/>
          <w:sz w:val="22"/>
          <w:szCs w:val="22"/>
        </w:rPr>
        <w:t>Persons</w:t>
      </w:r>
      <w:r w:rsidRPr="00EA7520">
        <w:rPr>
          <w:rFonts w:ascii="Arial" w:hAnsi="Arial" w:cs="Arial"/>
          <w:b/>
          <w:bCs/>
          <w:sz w:val="22"/>
          <w:szCs w:val="22"/>
        </w:rPr>
        <w:t xml:space="preserve"> (18 years and above) who </w:t>
      </w:r>
      <w:r w:rsidR="00E13889" w:rsidRPr="00EA7520">
        <w:rPr>
          <w:rFonts w:ascii="Arial" w:hAnsi="Arial" w:cs="Arial"/>
          <w:b/>
          <w:bCs/>
          <w:sz w:val="22"/>
          <w:szCs w:val="22"/>
        </w:rPr>
        <w:t>Approached/</w:t>
      </w:r>
      <w:r w:rsidRPr="00EA7520">
        <w:rPr>
          <w:rFonts w:ascii="Arial" w:hAnsi="Arial" w:cs="Arial"/>
          <w:b/>
          <w:bCs/>
          <w:sz w:val="22"/>
          <w:szCs w:val="22"/>
        </w:rPr>
        <w:t xml:space="preserve"> Called by or Interacted </w:t>
      </w:r>
      <w:r w:rsidR="00E13889" w:rsidRPr="00EA7520">
        <w:rPr>
          <w:rFonts w:ascii="Arial" w:hAnsi="Arial" w:cs="Arial"/>
          <w:b/>
          <w:bCs/>
          <w:sz w:val="22"/>
          <w:szCs w:val="22"/>
        </w:rPr>
        <w:t>w</w:t>
      </w:r>
      <w:r w:rsidRPr="00EA7520">
        <w:rPr>
          <w:rFonts w:ascii="Arial" w:hAnsi="Arial" w:cs="Arial"/>
          <w:b/>
          <w:bCs/>
          <w:sz w:val="22"/>
          <w:szCs w:val="22"/>
        </w:rPr>
        <w:t>ith the Palestinian Justice and Security</w:t>
      </w:r>
      <w:r w:rsidR="008C3A0A" w:rsidRPr="00EA7520">
        <w:rPr>
          <w:rFonts w:ascii="Arial" w:hAnsi="Arial" w:cs="Arial"/>
          <w:b/>
          <w:bCs/>
          <w:sz w:val="22"/>
          <w:szCs w:val="22"/>
        </w:rPr>
        <w:t xml:space="preserve"> </w:t>
      </w:r>
      <w:r w:rsidRPr="00EA7520">
        <w:rPr>
          <w:rFonts w:ascii="Arial" w:hAnsi="Arial" w:cs="Arial"/>
          <w:b/>
          <w:bCs/>
          <w:sz w:val="22"/>
          <w:szCs w:val="22"/>
        </w:rPr>
        <w:t>Sector</w:t>
      </w:r>
      <w:r w:rsidR="008C3A0A" w:rsidRPr="00EA7520">
        <w:rPr>
          <w:rFonts w:ascii="Arial" w:hAnsi="Arial" w:cs="Arial"/>
          <w:b/>
          <w:bCs/>
          <w:sz w:val="22"/>
          <w:szCs w:val="22"/>
        </w:rPr>
        <w:t xml:space="preserve"> </w:t>
      </w:r>
      <w:r w:rsidRPr="00EA7520">
        <w:rPr>
          <w:rFonts w:ascii="Arial" w:hAnsi="Arial" w:cs="Arial"/>
          <w:b/>
          <w:bCs/>
          <w:sz w:val="22"/>
          <w:szCs w:val="22"/>
        </w:rPr>
        <w:t>during the Past 12 Months by Sex and Region, September-October 2018</w:t>
      </w:r>
    </w:p>
    <w:p w:rsidR="00151660" w:rsidRPr="00151660" w:rsidRDefault="00151660" w:rsidP="00151660">
      <w:pPr>
        <w:bidi w:val="0"/>
        <w:jc w:val="center"/>
        <w:rPr>
          <w:rFonts w:ascii="Arial" w:hAnsi="Arial" w:cs="Arial"/>
          <w:b/>
          <w:bCs/>
          <w:sz w:val="10"/>
          <w:szCs w:val="10"/>
          <w:rtl/>
        </w:rPr>
      </w:pPr>
    </w:p>
    <w:tbl>
      <w:tblPr>
        <w:tblW w:w="8930" w:type="dxa"/>
        <w:jc w:val="center"/>
        <w:tblInd w:w="142" w:type="dxa"/>
        <w:tblLook w:val="04A0"/>
      </w:tblPr>
      <w:tblGrid>
        <w:gridCol w:w="1985"/>
        <w:gridCol w:w="858"/>
        <w:gridCol w:w="917"/>
        <w:gridCol w:w="947"/>
        <w:gridCol w:w="960"/>
        <w:gridCol w:w="960"/>
        <w:gridCol w:w="1067"/>
        <w:gridCol w:w="1236"/>
      </w:tblGrid>
      <w:tr w:rsidR="00E5781C" w:rsidRPr="008D1952" w:rsidTr="00151660">
        <w:trPr>
          <w:trHeight w:val="340"/>
          <w:jc w:val="center"/>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CF0959" w:rsidP="000476F5">
            <w:pPr>
              <w:bidi w:val="0"/>
              <w:jc w:val="center"/>
              <w:rPr>
                <w:rFonts w:ascii="Arial" w:hAnsi="Arial" w:cs="Arial"/>
                <w:b/>
                <w:bCs/>
                <w:sz w:val="18"/>
                <w:szCs w:val="18"/>
                <w:rtl/>
                <w:lang w:eastAsia="en-US"/>
              </w:rPr>
            </w:pPr>
            <w:r w:rsidRPr="008D1952">
              <w:rPr>
                <w:rFonts w:ascii="Arial" w:hAnsi="Arial" w:cs="Arial"/>
                <w:b/>
                <w:bCs/>
                <w:sz w:val="18"/>
                <w:szCs w:val="18"/>
                <w:lang w:eastAsia="en-US"/>
              </w:rPr>
              <w:t>The Security and Justice Institutions sector</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E5781C" w:rsidP="000476F5">
            <w:pPr>
              <w:bidi w:val="0"/>
              <w:jc w:val="center"/>
              <w:rPr>
                <w:rFonts w:ascii="Arial" w:hAnsi="Arial" w:cs="Arial"/>
                <w:b/>
                <w:bCs/>
                <w:sz w:val="18"/>
                <w:szCs w:val="18"/>
                <w:lang w:eastAsia="en-US"/>
              </w:rPr>
            </w:pPr>
            <w:r w:rsidRPr="008D1952">
              <w:rPr>
                <w:rFonts w:ascii="Arial" w:hAnsi="Arial" w:cs="Arial"/>
                <w:b/>
                <w:bCs/>
                <w:sz w:val="18"/>
                <w:szCs w:val="18"/>
                <w:lang w:eastAsia="en-US"/>
              </w:rPr>
              <w:t>gender</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E5781C" w:rsidP="000476F5">
            <w:pPr>
              <w:bidi w:val="0"/>
              <w:jc w:val="center"/>
              <w:rPr>
                <w:rFonts w:ascii="Arial" w:hAnsi="Arial" w:cs="Arial"/>
                <w:b/>
                <w:bCs/>
                <w:sz w:val="18"/>
                <w:szCs w:val="18"/>
                <w:lang w:eastAsia="en-US"/>
              </w:rPr>
            </w:pPr>
            <w:r w:rsidRPr="008D1952">
              <w:rPr>
                <w:rFonts w:ascii="Arial" w:hAnsi="Arial" w:cs="Arial"/>
                <w:sz w:val="18"/>
                <w:szCs w:val="18"/>
              </w:rPr>
              <w:t>Estimate</w:t>
            </w:r>
          </w:p>
        </w:tc>
        <w:tc>
          <w:tcPr>
            <w:tcW w:w="9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E5781C" w:rsidP="000476F5">
            <w:pPr>
              <w:bidi w:val="0"/>
              <w:jc w:val="center"/>
              <w:rPr>
                <w:rFonts w:ascii="Arial" w:hAnsi="Arial" w:cs="Arial"/>
                <w:b/>
                <w:bCs/>
                <w:sz w:val="18"/>
                <w:szCs w:val="18"/>
                <w:rtl/>
                <w:lang w:eastAsia="en-US"/>
              </w:rPr>
            </w:pPr>
            <w:r w:rsidRPr="008D1952">
              <w:rPr>
                <w:rFonts w:ascii="Arial" w:hAnsi="Arial" w:cs="Arial"/>
                <w:sz w:val="18"/>
                <w:szCs w:val="18"/>
              </w:rPr>
              <w:t>Standard Error</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E5781C" w:rsidP="000476F5">
            <w:pPr>
              <w:bidi w:val="0"/>
              <w:jc w:val="center"/>
              <w:rPr>
                <w:rFonts w:ascii="Arial" w:hAnsi="Arial" w:cs="Arial"/>
                <w:sz w:val="18"/>
                <w:szCs w:val="18"/>
              </w:rPr>
            </w:pPr>
            <w:r w:rsidRPr="008D1952">
              <w:rPr>
                <w:rFonts w:ascii="Arial" w:hAnsi="Arial" w:cs="Arial"/>
                <w:sz w:val="18"/>
                <w:szCs w:val="18"/>
              </w:rPr>
              <w:t>95% Confidence Interval</w:t>
            </w:r>
          </w:p>
        </w:tc>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E5781C" w:rsidP="000476F5">
            <w:pPr>
              <w:bidi w:val="0"/>
              <w:jc w:val="center"/>
              <w:rPr>
                <w:rFonts w:ascii="Arial" w:hAnsi="Arial" w:cs="Arial"/>
                <w:sz w:val="18"/>
                <w:szCs w:val="18"/>
              </w:rPr>
            </w:pPr>
            <w:r w:rsidRPr="008D1952">
              <w:rPr>
                <w:rFonts w:ascii="Arial" w:hAnsi="Arial" w:cs="Arial"/>
                <w:sz w:val="18"/>
                <w:szCs w:val="18"/>
              </w:rPr>
              <w:t>Coefficient of Variation</w:t>
            </w:r>
          </w:p>
        </w:tc>
        <w:tc>
          <w:tcPr>
            <w:tcW w:w="12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8D1952" w:rsidRDefault="00CD575E" w:rsidP="000476F5">
            <w:pPr>
              <w:bidi w:val="0"/>
              <w:jc w:val="center"/>
              <w:rPr>
                <w:rFonts w:ascii="Arial" w:hAnsi="Arial" w:cs="Arial"/>
                <w:sz w:val="18"/>
                <w:szCs w:val="18"/>
                <w:rtl/>
              </w:rPr>
            </w:pPr>
            <w:r w:rsidRPr="008D1952">
              <w:rPr>
                <w:rFonts w:ascii="Arial" w:hAnsi="Arial" w:cs="Arial"/>
                <w:b/>
                <w:bCs/>
                <w:sz w:val="18"/>
                <w:szCs w:val="18"/>
                <w:lang w:eastAsia="en-US"/>
              </w:rPr>
              <w:t>Unweighted Count</w:t>
            </w:r>
          </w:p>
        </w:tc>
      </w:tr>
      <w:tr w:rsidR="00E5781C" w:rsidRPr="008D1952" w:rsidTr="00151660">
        <w:trPr>
          <w:trHeight w:val="34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5781C" w:rsidRPr="008D1952" w:rsidRDefault="00E5781C" w:rsidP="00AC476D">
            <w:pPr>
              <w:bidi w:val="0"/>
              <w:rPr>
                <w:rFonts w:ascii="Arial" w:hAnsi="Arial" w:cs="Arial"/>
                <w:b/>
                <w:bCs/>
                <w:sz w:val="18"/>
                <w:szCs w:val="18"/>
                <w:lang w:eastAsia="en-US"/>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E5781C" w:rsidRPr="008D1952" w:rsidRDefault="00E5781C" w:rsidP="00AC476D">
            <w:pPr>
              <w:bidi w:val="0"/>
              <w:rPr>
                <w:rFonts w:ascii="Arial" w:hAnsi="Arial" w:cs="Arial"/>
                <w:b/>
                <w:bCs/>
                <w:sz w:val="18"/>
                <w:szCs w:val="18"/>
                <w:lang w:eastAsia="en-US"/>
              </w:rPr>
            </w:pPr>
          </w:p>
        </w:tc>
        <w:tc>
          <w:tcPr>
            <w:tcW w:w="917" w:type="dxa"/>
            <w:vMerge/>
            <w:tcBorders>
              <w:top w:val="single" w:sz="4" w:space="0" w:color="auto"/>
              <w:left w:val="single" w:sz="4" w:space="0" w:color="auto"/>
              <w:bottom w:val="single" w:sz="4" w:space="0" w:color="auto"/>
              <w:right w:val="single" w:sz="4" w:space="0" w:color="auto"/>
            </w:tcBorders>
            <w:vAlign w:val="center"/>
            <w:hideMark/>
          </w:tcPr>
          <w:p w:rsidR="00E5781C" w:rsidRPr="008D1952" w:rsidRDefault="00E5781C" w:rsidP="00AC476D">
            <w:pPr>
              <w:bidi w:val="0"/>
              <w:rPr>
                <w:rFonts w:ascii="Arial" w:hAnsi="Arial" w:cs="Arial"/>
                <w:b/>
                <w:bCs/>
                <w:sz w:val="18"/>
                <w:szCs w:val="18"/>
                <w:lang w:eastAsia="en-US"/>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rsidR="00E5781C" w:rsidRPr="008D1952" w:rsidRDefault="00E5781C" w:rsidP="00AC476D">
            <w:pPr>
              <w:bidi w:val="0"/>
              <w:rPr>
                <w:rFonts w:ascii="Arial" w:hAnsi="Arial" w:cs="Arial"/>
                <w:b/>
                <w:bCs/>
                <w:sz w:val="18"/>
                <w:szCs w:val="18"/>
                <w:lang w:eastAsia="en-US"/>
              </w:rPr>
            </w:pP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E5781C" w:rsidRPr="008D1952" w:rsidRDefault="00E5781C" w:rsidP="000476F5">
            <w:pPr>
              <w:bidi w:val="0"/>
              <w:jc w:val="center"/>
              <w:rPr>
                <w:rFonts w:ascii="Arial" w:hAnsi="Arial" w:cs="Arial"/>
                <w:sz w:val="18"/>
                <w:szCs w:val="18"/>
              </w:rPr>
            </w:pPr>
            <w:r w:rsidRPr="008D1952">
              <w:rPr>
                <w:rFonts w:ascii="Arial" w:hAnsi="Arial" w:cs="Arial"/>
                <w:sz w:val="18"/>
                <w:szCs w:val="18"/>
              </w:rPr>
              <w:t>Lower</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E5781C" w:rsidRPr="008D1952" w:rsidRDefault="00E5781C" w:rsidP="000476F5">
            <w:pPr>
              <w:bidi w:val="0"/>
              <w:jc w:val="center"/>
              <w:rPr>
                <w:rFonts w:ascii="Arial" w:hAnsi="Arial" w:cs="Arial"/>
                <w:sz w:val="18"/>
                <w:szCs w:val="18"/>
                <w:rtl/>
              </w:rPr>
            </w:pPr>
            <w:r w:rsidRPr="008D1952">
              <w:rPr>
                <w:rFonts w:ascii="Arial" w:hAnsi="Arial" w:cs="Arial"/>
                <w:sz w:val="18"/>
                <w:szCs w:val="18"/>
              </w:rPr>
              <w:t>Upper</w:t>
            </w:r>
          </w:p>
        </w:tc>
        <w:tc>
          <w:tcPr>
            <w:tcW w:w="1067" w:type="dxa"/>
            <w:vMerge/>
            <w:tcBorders>
              <w:top w:val="single" w:sz="4" w:space="0" w:color="auto"/>
              <w:left w:val="single" w:sz="4" w:space="0" w:color="auto"/>
              <w:bottom w:val="single" w:sz="4" w:space="0" w:color="auto"/>
              <w:right w:val="single" w:sz="4" w:space="0" w:color="auto"/>
            </w:tcBorders>
            <w:vAlign w:val="center"/>
            <w:hideMark/>
          </w:tcPr>
          <w:p w:rsidR="00E5781C" w:rsidRPr="008D1952" w:rsidRDefault="00E5781C" w:rsidP="00AC476D">
            <w:pPr>
              <w:bidi w:val="0"/>
              <w:rPr>
                <w:rFonts w:ascii="Arial" w:hAnsi="Arial" w:cs="Arial"/>
                <w:b/>
                <w:bCs/>
                <w:sz w:val="18"/>
                <w:szCs w:val="18"/>
                <w:lang w:eastAsia="en-US"/>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rsidR="00E5781C" w:rsidRPr="008D1952" w:rsidRDefault="00E5781C" w:rsidP="00AC476D">
            <w:pPr>
              <w:bidi w:val="0"/>
              <w:rPr>
                <w:rFonts w:ascii="Arial" w:hAnsi="Arial" w:cs="Arial"/>
                <w:b/>
                <w:bCs/>
                <w:sz w:val="18"/>
                <w:szCs w:val="18"/>
                <w:lang w:eastAsia="en-US"/>
              </w:rPr>
            </w:pPr>
          </w:p>
        </w:tc>
      </w:tr>
      <w:tr w:rsidR="00E5781C" w:rsidRPr="008D1952" w:rsidTr="00151660">
        <w:trPr>
          <w:trHeight w:val="340"/>
          <w:jc w:val="center"/>
        </w:trPr>
        <w:tc>
          <w:tcPr>
            <w:tcW w:w="1985" w:type="dxa"/>
            <w:vMerge w:val="restart"/>
            <w:tcBorders>
              <w:top w:val="nil"/>
              <w:left w:val="single" w:sz="4" w:space="0" w:color="auto"/>
              <w:bottom w:val="single" w:sz="4" w:space="0" w:color="auto"/>
              <w:right w:val="single" w:sz="4" w:space="0" w:color="auto"/>
            </w:tcBorders>
            <w:shd w:val="clear" w:color="auto" w:fill="auto"/>
            <w:hideMark/>
          </w:tcPr>
          <w:p w:rsidR="00E5781C" w:rsidRPr="008D1952" w:rsidRDefault="00CF0959" w:rsidP="00151660">
            <w:pPr>
              <w:bidi w:val="0"/>
              <w:rPr>
                <w:rFonts w:ascii="Arial" w:hAnsi="Arial" w:cs="Arial"/>
                <w:sz w:val="18"/>
                <w:szCs w:val="18"/>
                <w:lang w:eastAsia="en-US"/>
              </w:rPr>
            </w:pPr>
            <w:r w:rsidRPr="008D1952">
              <w:rPr>
                <w:rFonts w:ascii="Arial" w:hAnsi="Arial" w:cs="Arial"/>
                <w:sz w:val="18"/>
                <w:szCs w:val="18"/>
                <w:lang w:eastAsia="en-US"/>
              </w:rPr>
              <w:t>Palestinian civil police</w:t>
            </w:r>
          </w:p>
        </w:tc>
        <w:tc>
          <w:tcPr>
            <w:tcW w:w="858" w:type="dxa"/>
            <w:tcBorders>
              <w:top w:val="single" w:sz="4" w:space="0" w:color="auto"/>
              <w:left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male</w:t>
            </w:r>
          </w:p>
        </w:tc>
        <w:tc>
          <w:tcPr>
            <w:tcW w:w="917"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11.6%</w:t>
            </w:r>
          </w:p>
        </w:tc>
        <w:tc>
          <w:tcPr>
            <w:tcW w:w="947" w:type="dxa"/>
            <w:tcBorders>
              <w:top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.6%</w:t>
            </w:r>
          </w:p>
        </w:tc>
        <w:tc>
          <w:tcPr>
            <w:tcW w:w="960"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10.5%</w:t>
            </w:r>
          </w:p>
        </w:tc>
        <w:tc>
          <w:tcPr>
            <w:tcW w:w="960"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12.7%</w:t>
            </w:r>
          </w:p>
        </w:tc>
        <w:tc>
          <w:tcPr>
            <w:tcW w:w="1067"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4.9%</w:t>
            </w:r>
          </w:p>
        </w:tc>
        <w:tc>
          <w:tcPr>
            <w:tcW w:w="1236" w:type="dxa"/>
            <w:tcBorders>
              <w:top w:val="single" w:sz="4" w:space="0" w:color="auto"/>
              <w:right w:val="single" w:sz="4" w:space="0" w:color="auto"/>
            </w:tcBorders>
            <w:shd w:val="clear" w:color="auto" w:fill="auto"/>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639</w:t>
            </w:r>
          </w:p>
        </w:tc>
      </w:tr>
      <w:tr w:rsidR="00E5781C" w:rsidRPr="008D1952" w:rsidTr="00151660">
        <w:trPr>
          <w:trHeight w:val="340"/>
          <w:jc w:val="center"/>
        </w:trPr>
        <w:tc>
          <w:tcPr>
            <w:tcW w:w="1985" w:type="dxa"/>
            <w:vMerge/>
            <w:tcBorders>
              <w:top w:val="nil"/>
              <w:left w:val="single" w:sz="4" w:space="0" w:color="auto"/>
              <w:bottom w:val="single" w:sz="4" w:space="0" w:color="auto"/>
              <w:right w:val="single" w:sz="4" w:space="0" w:color="auto"/>
            </w:tcBorders>
            <w:hideMark/>
          </w:tcPr>
          <w:p w:rsidR="00E5781C" w:rsidRPr="008D1952" w:rsidRDefault="00E5781C" w:rsidP="00151660">
            <w:pPr>
              <w:bidi w:val="0"/>
              <w:rPr>
                <w:rFonts w:ascii="Arial" w:hAnsi="Arial" w:cs="Arial"/>
                <w:sz w:val="18"/>
                <w:szCs w:val="18"/>
                <w:lang w:eastAsia="en-US"/>
              </w:rPr>
            </w:pPr>
          </w:p>
        </w:tc>
        <w:tc>
          <w:tcPr>
            <w:tcW w:w="858" w:type="dxa"/>
            <w:tcBorders>
              <w:top w:val="nil"/>
              <w:left w:val="single" w:sz="4" w:space="0" w:color="auto"/>
              <w:bottom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female</w:t>
            </w:r>
          </w:p>
        </w:tc>
        <w:tc>
          <w:tcPr>
            <w:tcW w:w="917"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1.7%</w:t>
            </w:r>
          </w:p>
        </w:tc>
        <w:tc>
          <w:tcPr>
            <w:tcW w:w="947" w:type="dxa"/>
            <w:tcBorders>
              <w:top w:val="nil"/>
              <w:bottom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.2%</w:t>
            </w:r>
          </w:p>
        </w:tc>
        <w:tc>
          <w:tcPr>
            <w:tcW w:w="960"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1.4%</w:t>
            </w:r>
          </w:p>
        </w:tc>
        <w:tc>
          <w:tcPr>
            <w:tcW w:w="960"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2.1%</w:t>
            </w:r>
          </w:p>
        </w:tc>
        <w:tc>
          <w:tcPr>
            <w:tcW w:w="1067"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10.7%</w:t>
            </w:r>
          </w:p>
        </w:tc>
        <w:tc>
          <w:tcPr>
            <w:tcW w:w="1236" w:type="dxa"/>
            <w:tcBorders>
              <w:top w:val="nil"/>
              <w:bottom w:val="single" w:sz="4" w:space="0" w:color="auto"/>
              <w:right w:val="single" w:sz="4" w:space="0" w:color="auto"/>
            </w:tcBorders>
            <w:shd w:val="clear" w:color="auto" w:fill="auto"/>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108</w:t>
            </w:r>
          </w:p>
        </w:tc>
      </w:tr>
      <w:tr w:rsidR="00E5781C" w:rsidRPr="008D1952" w:rsidTr="00151660">
        <w:trPr>
          <w:trHeight w:val="340"/>
          <w:jc w:val="center"/>
        </w:trPr>
        <w:tc>
          <w:tcPr>
            <w:tcW w:w="1985" w:type="dxa"/>
            <w:vMerge w:val="restart"/>
            <w:tcBorders>
              <w:top w:val="nil"/>
              <w:left w:val="single" w:sz="4" w:space="0" w:color="auto"/>
              <w:bottom w:val="single" w:sz="4" w:space="0" w:color="auto"/>
              <w:right w:val="single" w:sz="4" w:space="0" w:color="auto"/>
            </w:tcBorders>
            <w:shd w:val="clear" w:color="auto" w:fill="auto"/>
            <w:hideMark/>
          </w:tcPr>
          <w:p w:rsidR="00E5781C" w:rsidRPr="008D1952" w:rsidRDefault="00CF0959" w:rsidP="00151660">
            <w:pPr>
              <w:bidi w:val="0"/>
              <w:rPr>
                <w:rFonts w:ascii="Arial" w:hAnsi="Arial" w:cs="Arial"/>
                <w:sz w:val="18"/>
                <w:szCs w:val="18"/>
                <w:lang w:eastAsia="en-US"/>
              </w:rPr>
            </w:pPr>
            <w:r w:rsidRPr="008D1952">
              <w:rPr>
                <w:rFonts w:ascii="Arial" w:hAnsi="Arial" w:cs="Arial"/>
                <w:sz w:val="18"/>
                <w:szCs w:val="18"/>
                <w:lang w:eastAsia="en-US"/>
              </w:rPr>
              <w:t>Regular courts</w:t>
            </w:r>
          </w:p>
        </w:tc>
        <w:tc>
          <w:tcPr>
            <w:tcW w:w="858" w:type="dxa"/>
            <w:tcBorders>
              <w:top w:val="single" w:sz="4" w:space="0" w:color="auto"/>
              <w:left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male</w:t>
            </w:r>
          </w:p>
        </w:tc>
        <w:tc>
          <w:tcPr>
            <w:tcW w:w="917"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7.1%</w:t>
            </w:r>
          </w:p>
        </w:tc>
        <w:tc>
          <w:tcPr>
            <w:tcW w:w="947" w:type="dxa"/>
            <w:tcBorders>
              <w:top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.4%</w:t>
            </w:r>
          </w:p>
        </w:tc>
        <w:tc>
          <w:tcPr>
            <w:tcW w:w="960"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6.3%</w:t>
            </w:r>
          </w:p>
        </w:tc>
        <w:tc>
          <w:tcPr>
            <w:tcW w:w="960"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8.0%</w:t>
            </w:r>
          </w:p>
        </w:tc>
        <w:tc>
          <w:tcPr>
            <w:tcW w:w="1067"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5.8%</w:t>
            </w:r>
          </w:p>
        </w:tc>
        <w:tc>
          <w:tcPr>
            <w:tcW w:w="1236" w:type="dxa"/>
            <w:tcBorders>
              <w:top w:val="single" w:sz="4" w:space="0" w:color="auto"/>
              <w:right w:val="single" w:sz="4" w:space="0" w:color="auto"/>
            </w:tcBorders>
            <w:shd w:val="clear" w:color="auto" w:fill="auto"/>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431</w:t>
            </w:r>
          </w:p>
        </w:tc>
      </w:tr>
      <w:tr w:rsidR="00E5781C" w:rsidRPr="008D1952" w:rsidTr="00151660">
        <w:trPr>
          <w:trHeight w:val="340"/>
          <w:jc w:val="center"/>
        </w:trPr>
        <w:tc>
          <w:tcPr>
            <w:tcW w:w="1985" w:type="dxa"/>
            <w:vMerge/>
            <w:tcBorders>
              <w:top w:val="nil"/>
              <w:left w:val="single" w:sz="4" w:space="0" w:color="auto"/>
              <w:bottom w:val="single" w:sz="4" w:space="0" w:color="auto"/>
              <w:right w:val="single" w:sz="4" w:space="0" w:color="auto"/>
            </w:tcBorders>
            <w:hideMark/>
          </w:tcPr>
          <w:p w:rsidR="00E5781C" w:rsidRPr="008D1952" w:rsidRDefault="00E5781C" w:rsidP="00151660">
            <w:pPr>
              <w:bidi w:val="0"/>
              <w:rPr>
                <w:rFonts w:ascii="Arial" w:hAnsi="Arial" w:cs="Arial"/>
                <w:sz w:val="18"/>
                <w:szCs w:val="18"/>
                <w:lang w:eastAsia="en-US"/>
              </w:rPr>
            </w:pPr>
          </w:p>
        </w:tc>
        <w:tc>
          <w:tcPr>
            <w:tcW w:w="858" w:type="dxa"/>
            <w:tcBorders>
              <w:top w:val="nil"/>
              <w:left w:val="single" w:sz="4" w:space="0" w:color="auto"/>
              <w:bottom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female</w:t>
            </w:r>
          </w:p>
        </w:tc>
        <w:tc>
          <w:tcPr>
            <w:tcW w:w="917"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1.1%</w:t>
            </w:r>
          </w:p>
        </w:tc>
        <w:tc>
          <w:tcPr>
            <w:tcW w:w="947" w:type="dxa"/>
            <w:tcBorders>
              <w:top w:val="nil"/>
              <w:bottom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.2%</w:t>
            </w:r>
          </w:p>
        </w:tc>
        <w:tc>
          <w:tcPr>
            <w:tcW w:w="960" w:type="dxa"/>
            <w:tcBorders>
              <w:top w:val="nil"/>
              <w:bottom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.8%</w:t>
            </w:r>
          </w:p>
        </w:tc>
        <w:tc>
          <w:tcPr>
            <w:tcW w:w="960"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1.4%</w:t>
            </w:r>
          </w:p>
        </w:tc>
        <w:tc>
          <w:tcPr>
            <w:tcW w:w="1067"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14.4%</w:t>
            </w:r>
          </w:p>
        </w:tc>
        <w:tc>
          <w:tcPr>
            <w:tcW w:w="1236" w:type="dxa"/>
            <w:tcBorders>
              <w:top w:val="nil"/>
              <w:bottom w:val="single" w:sz="4" w:space="0" w:color="auto"/>
              <w:right w:val="single" w:sz="4" w:space="0" w:color="auto"/>
            </w:tcBorders>
            <w:shd w:val="clear" w:color="auto" w:fill="auto"/>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78</w:t>
            </w:r>
          </w:p>
        </w:tc>
      </w:tr>
      <w:tr w:rsidR="00E5781C" w:rsidRPr="008D1952" w:rsidTr="00151660">
        <w:trPr>
          <w:trHeight w:val="340"/>
          <w:jc w:val="center"/>
        </w:trPr>
        <w:tc>
          <w:tcPr>
            <w:tcW w:w="1985" w:type="dxa"/>
            <w:vMerge w:val="restart"/>
            <w:tcBorders>
              <w:top w:val="nil"/>
              <w:left w:val="single" w:sz="4" w:space="0" w:color="auto"/>
              <w:bottom w:val="single" w:sz="4" w:space="0" w:color="auto"/>
              <w:right w:val="single" w:sz="4" w:space="0" w:color="auto"/>
            </w:tcBorders>
            <w:shd w:val="clear" w:color="auto" w:fill="auto"/>
            <w:hideMark/>
          </w:tcPr>
          <w:p w:rsidR="00E5781C" w:rsidRPr="008D1952" w:rsidRDefault="00CF0959" w:rsidP="00151660">
            <w:pPr>
              <w:bidi w:val="0"/>
              <w:rPr>
                <w:rFonts w:ascii="Arial" w:hAnsi="Arial" w:cs="Arial"/>
                <w:sz w:val="18"/>
                <w:szCs w:val="18"/>
                <w:lang w:eastAsia="en-US"/>
              </w:rPr>
            </w:pPr>
            <w:r w:rsidRPr="008D1952">
              <w:rPr>
                <w:rFonts w:ascii="Arial" w:hAnsi="Arial" w:cs="Arial"/>
                <w:sz w:val="18"/>
                <w:szCs w:val="18"/>
                <w:lang w:eastAsia="en-US"/>
              </w:rPr>
              <w:t>Sharia’ (religious) courts/Church courts</w:t>
            </w:r>
          </w:p>
        </w:tc>
        <w:tc>
          <w:tcPr>
            <w:tcW w:w="858" w:type="dxa"/>
            <w:tcBorders>
              <w:top w:val="single" w:sz="4" w:space="0" w:color="auto"/>
              <w:left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male</w:t>
            </w:r>
          </w:p>
        </w:tc>
        <w:tc>
          <w:tcPr>
            <w:tcW w:w="917"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5.7%</w:t>
            </w:r>
          </w:p>
        </w:tc>
        <w:tc>
          <w:tcPr>
            <w:tcW w:w="947" w:type="dxa"/>
            <w:tcBorders>
              <w:top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.4%</w:t>
            </w:r>
          </w:p>
        </w:tc>
        <w:tc>
          <w:tcPr>
            <w:tcW w:w="960"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4.9%</w:t>
            </w:r>
          </w:p>
        </w:tc>
        <w:tc>
          <w:tcPr>
            <w:tcW w:w="960"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6.6%</w:t>
            </w:r>
          </w:p>
        </w:tc>
        <w:tc>
          <w:tcPr>
            <w:tcW w:w="1067"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7.4%</w:t>
            </w:r>
          </w:p>
        </w:tc>
        <w:tc>
          <w:tcPr>
            <w:tcW w:w="1236" w:type="dxa"/>
            <w:tcBorders>
              <w:top w:val="single" w:sz="4" w:space="0" w:color="auto"/>
              <w:right w:val="single" w:sz="4" w:space="0" w:color="auto"/>
            </w:tcBorders>
            <w:shd w:val="clear" w:color="auto" w:fill="auto"/>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305</w:t>
            </w:r>
          </w:p>
        </w:tc>
      </w:tr>
      <w:tr w:rsidR="00E5781C" w:rsidRPr="008D1952" w:rsidTr="00151660">
        <w:trPr>
          <w:trHeight w:val="340"/>
          <w:jc w:val="center"/>
        </w:trPr>
        <w:tc>
          <w:tcPr>
            <w:tcW w:w="1985" w:type="dxa"/>
            <w:vMerge/>
            <w:tcBorders>
              <w:top w:val="nil"/>
              <w:left w:val="single" w:sz="4" w:space="0" w:color="auto"/>
              <w:bottom w:val="single" w:sz="4" w:space="0" w:color="auto"/>
              <w:right w:val="single" w:sz="4" w:space="0" w:color="auto"/>
            </w:tcBorders>
            <w:hideMark/>
          </w:tcPr>
          <w:p w:rsidR="00E5781C" w:rsidRPr="008D1952" w:rsidRDefault="00E5781C" w:rsidP="00151660">
            <w:pPr>
              <w:bidi w:val="0"/>
              <w:rPr>
                <w:rFonts w:ascii="Arial" w:hAnsi="Arial" w:cs="Arial"/>
                <w:sz w:val="18"/>
                <w:szCs w:val="18"/>
                <w:lang w:eastAsia="en-US"/>
              </w:rPr>
            </w:pPr>
          </w:p>
        </w:tc>
        <w:tc>
          <w:tcPr>
            <w:tcW w:w="858" w:type="dxa"/>
            <w:tcBorders>
              <w:top w:val="nil"/>
              <w:left w:val="single" w:sz="4" w:space="0" w:color="auto"/>
              <w:bottom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female</w:t>
            </w:r>
          </w:p>
        </w:tc>
        <w:tc>
          <w:tcPr>
            <w:tcW w:w="917"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3.6%</w:t>
            </w:r>
          </w:p>
        </w:tc>
        <w:tc>
          <w:tcPr>
            <w:tcW w:w="947" w:type="dxa"/>
            <w:tcBorders>
              <w:top w:val="nil"/>
              <w:bottom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.5%</w:t>
            </w:r>
          </w:p>
        </w:tc>
        <w:tc>
          <w:tcPr>
            <w:tcW w:w="960"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2.8%</w:t>
            </w:r>
          </w:p>
        </w:tc>
        <w:tc>
          <w:tcPr>
            <w:tcW w:w="960"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4.6%</w:t>
            </w:r>
          </w:p>
        </w:tc>
        <w:tc>
          <w:tcPr>
            <w:tcW w:w="1067"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12.7%</w:t>
            </w:r>
          </w:p>
        </w:tc>
        <w:tc>
          <w:tcPr>
            <w:tcW w:w="1236" w:type="dxa"/>
            <w:tcBorders>
              <w:top w:val="nil"/>
              <w:bottom w:val="single" w:sz="4" w:space="0" w:color="auto"/>
              <w:right w:val="single" w:sz="4" w:space="0" w:color="auto"/>
            </w:tcBorders>
            <w:shd w:val="clear" w:color="auto" w:fill="auto"/>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161</w:t>
            </w:r>
          </w:p>
        </w:tc>
      </w:tr>
      <w:tr w:rsidR="00E5781C" w:rsidRPr="008D1952" w:rsidTr="00151660">
        <w:trPr>
          <w:trHeight w:val="340"/>
          <w:jc w:val="center"/>
        </w:trPr>
        <w:tc>
          <w:tcPr>
            <w:tcW w:w="1985" w:type="dxa"/>
            <w:vMerge w:val="restart"/>
            <w:tcBorders>
              <w:top w:val="nil"/>
              <w:left w:val="single" w:sz="4" w:space="0" w:color="auto"/>
              <w:bottom w:val="single" w:sz="4" w:space="0" w:color="auto"/>
              <w:right w:val="single" w:sz="4" w:space="0" w:color="auto"/>
            </w:tcBorders>
            <w:shd w:val="clear" w:color="auto" w:fill="auto"/>
            <w:hideMark/>
          </w:tcPr>
          <w:p w:rsidR="00E5781C" w:rsidRPr="008D1952" w:rsidRDefault="00CF0959" w:rsidP="00151660">
            <w:pPr>
              <w:bidi w:val="0"/>
              <w:rPr>
                <w:rFonts w:ascii="Arial" w:hAnsi="Arial" w:cs="Arial"/>
                <w:sz w:val="18"/>
                <w:szCs w:val="18"/>
                <w:lang w:eastAsia="en-US"/>
              </w:rPr>
            </w:pPr>
            <w:r w:rsidRPr="008D1952">
              <w:rPr>
                <w:rFonts w:ascii="Arial" w:hAnsi="Arial" w:cs="Arial"/>
                <w:sz w:val="18"/>
                <w:szCs w:val="18"/>
                <w:lang w:eastAsia="en-US"/>
              </w:rPr>
              <w:t>Public prosecution</w:t>
            </w:r>
          </w:p>
        </w:tc>
        <w:tc>
          <w:tcPr>
            <w:tcW w:w="858" w:type="dxa"/>
            <w:tcBorders>
              <w:top w:val="single" w:sz="4" w:space="0" w:color="auto"/>
              <w:left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male</w:t>
            </w:r>
          </w:p>
        </w:tc>
        <w:tc>
          <w:tcPr>
            <w:tcW w:w="917"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2.7%</w:t>
            </w:r>
          </w:p>
        </w:tc>
        <w:tc>
          <w:tcPr>
            <w:tcW w:w="947" w:type="dxa"/>
            <w:tcBorders>
              <w:top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.3%</w:t>
            </w:r>
          </w:p>
        </w:tc>
        <w:tc>
          <w:tcPr>
            <w:tcW w:w="960"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2.2%</w:t>
            </w:r>
          </w:p>
        </w:tc>
        <w:tc>
          <w:tcPr>
            <w:tcW w:w="960"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3.3%</w:t>
            </w:r>
          </w:p>
        </w:tc>
        <w:tc>
          <w:tcPr>
            <w:tcW w:w="1067" w:type="dxa"/>
            <w:tcBorders>
              <w:top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10.5%</w:t>
            </w:r>
          </w:p>
        </w:tc>
        <w:tc>
          <w:tcPr>
            <w:tcW w:w="1236" w:type="dxa"/>
            <w:tcBorders>
              <w:top w:val="single" w:sz="4" w:space="0" w:color="auto"/>
              <w:right w:val="single" w:sz="4" w:space="0" w:color="auto"/>
            </w:tcBorders>
            <w:shd w:val="clear" w:color="auto" w:fill="auto"/>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148</w:t>
            </w:r>
          </w:p>
        </w:tc>
      </w:tr>
      <w:tr w:rsidR="00E5781C" w:rsidRPr="008D1952" w:rsidTr="00151660">
        <w:trPr>
          <w:trHeight w:val="340"/>
          <w:jc w:val="center"/>
        </w:trPr>
        <w:tc>
          <w:tcPr>
            <w:tcW w:w="1985" w:type="dxa"/>
            <w:vMerge/>
            <w:tcBorders>
              <w:top w:val="nil"/>
              <w:left w:val="single" w:sz="4" w:space="0" w:color="auto"/>
              <w:bottom w:val="single" w:sz="4" w:space="0" w:color="auto"/>
              <w:right w:val="single" w:sz="4" w:space="0" w:color="auto"/>
            </w:tcBorders>
            <w:hideMark/>
          </w:tcPr>
          <w:p w:rsidR="00E5781C" w:rsidRPr="008D1952" w:rsidRDefault="00E5781C" w:rsidP="00151660">
            <w:pPr>
              <w:bidi w:val="0"/>
              <w:rPr>
                <w:rFonts w:ascii="Arial" w:hAnsi="Arial" w:cs="Arial"/>
                <w:sz w:val="18"/>
                <w:szCs w:val="18"/>
                <w:lang w:eastAsia="en-US"/>
              </w:rPr>
            </w:pPr>
          </w:p>
        </w:tc>
        <w:tc>
          <w:tcPr>
            <w:tcW w:w="858" w:type="dxa"/>
            <w:tcBorders>
              <w:top w:val="nil"/>
              <w:left w:val="single" w:sz="4" w:space="0" w:color="auto"/>
              <w:bottom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female</w:t>
            </w:r>
          </w:p>
        </w:tc>
        <w:tc>
          <w:tcPr>
            <w:tcW w:w="917" w:type="dxa"/>
            <w:tcBorders>
              <w:top w:val="nil"/>
              <w:bottom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.3%</w:t>
            </w:r>
          </w:p>
        </w:tc>
        <w:tc>
          <w:tcPr>
            <w:tcW w:w="947" w:type="dxa"/>
            <w:tcBorders>
              <w:top w:val="nil"/>
              <w:bottom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.1%</w:t>
            </w:r>
          </w:p>
        </w:tc>
        <w:tc>
          <w:tcPr>
            <w:tcW w:w="960" w:type="dxa"/>
            <w:tcBorders>
              <w:top w:val="nil"/>
              <w:bottom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.2%</w:t>
            </w:r>
          </w:p>
        </w:tc>
        <w:tc>
          <w:tcPr>
            <w:tcW w:w="960" w:type="dxa"/>
            <w:tcBorders>
              <w:top w:val="nil"/>
              <w:bottom w:val="single" w:sz="4" w:space="0" w:color="auto"/>
            </w:tcBorders>
            <w:shd w:val="clear" w:color="auto" w:fill="auto"/>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.6%</w:t>
            </w:r>
          </w:p>
        </w:tc>
        <w:tc>
          <w:tcPr>
            <w:tcW w:w="1067" w:type="dxa"/>
            <w:tcBorders>
              <w:top w:val="nil"/>
              <w:bottom w:val="single" w:sz="4" w:space="0" w:color="auto"/>
            </w:tcBorders>
            <w:shd w:val="clear" w:color="auto" w:fill="auto"/>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26.9%</w:t>
            </w:r>
          </w:p>
        </w:tc>
        <w:tc>
          <w:tcPr>
            <w:tcW w:w="1236" w:type="dxa"/>
            <w:tcBorders>
              <w:top w:val="nil"/>
              <w:bottom w:val="single" w:sz="4" w:space="0" w:color="auto"/>
              <w:right w:val="single" w:sz="4" w:space="0" w:color="auto"/>
            </w:tcBorders>
            <w:shd w:val="clear" w:color="auto" w:fill="auto"/>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20</w:t>
            </w:r>
          </w:p>
        </w:tc>
      </w:tr>
      <w:tr w:rsidR="00E5781C" w:rsidRPr="008D1952" w:rsidTr="00151660">
        <w:trPr>
          <w:trHeight w:val="340"/>
          <w:jc w:val="center"/>
        </w:trPr>
        <w:tc>
          <w:tcPr>
            <w:tcW w:w="1985" w:type="dxa"/>
            <w:vMerge w:val="restart"/>
            <w:tcBorders>
              <w:top w:val="nil"/>
              <w:left w:val="single" w:sz="4" w:space="0" w:color="auto"/>
              <w:bottom w:val="single" w:sz="4" w:space="0" w:color="auto"/>
              <w:right w:val="single" w:sz="4" w:space="0" w:color="auto"/>
            </w:tcBorders>
            <w:shd w:val="clear" w:color="auto" w:fill="auto"/>
            <w:hideMark/>
          </w:tcPr>
          <w:p w:rsidR="00E5781C" w:rsidRPr="008D1952" w:rsidRDefault="00CF0959" w:rsidP="00151660">
            <w:pPr>
              <w:bidi w:val="0"/>
              <w:rPr>
                <w:rFonts w:ascii="Arial" w:hAnsi="Arial" w:cs="Arial"/>
                <w:sz w:val="18"/>
                <w:szCs w:val="18"/>
                <w:rtl/>
                <w:lang w:eastAsia="en-US"/>
              </w:rPr>
            </w:pPr>
            <w:r w:rsidRPr="008D1952">
              <w:rPr>
                <w:rFonts w:ascii="Arial" w:hAnsi="Arial" w:cs="Arial"/>
                <w:sz w:val="18"/>
                <w:szCs w:val="18"/>
                <w:lang w:eastAsia="en-US"/>
              </w:rPr>
              <w:t>Military courts</w:t>
            </w:r>
          </w:p>
        </w:tc>
        <w:tc>
          <w:tcPr>
            <w:tcW w:w="858" w:type="dxa"/>
            <w:tcBorders>
              <w:top w:val="single" w:sz="4" w:space="0" w:color="auto"/>
              <w:left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male</w:t>
            </w:r>
          </w:p>
        </w:tc>
        <w:tc>
          <w:tcPr>
            <w:tcW w:w="917"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.2%</w:t>
            </w:r>
          </w:p>
        </w:tc>
        <w:tc>
          <w:tcPr>
            <w:tcW w:w="947"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.1%</w:t>
            </w:r>
          </w:p>
        </w:tc>
        <w:tc>
          <w:tcPr>
            <w:tcW w:w="960"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.1%</w:t>
            </w:r>
          </w:p>
        </w:tc>
        <w:tc>
          <w:tcPr>
            <w:tcW w:w="960"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.4%</w:t>
            </w:r>
          </w:p>
        </w:tc>
        <w:tc>
          <w:tcPr>
            <w:tcW w:w="1067"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33.6%</w:t>
            </w:r>
          </w:p>
        </w:tc>
        <w:tc>
          <w:tcPr>
            <w:tcW w:w="1236" w:type="dxa"/>
            <w:tcBorders>
              <w:top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15</w:t>
            </w:r>
          </w:p>
        </w:tc>
      </w:tr>
      <w:tr w:rsidR="00E5781C" w:rsidRPr="008D1952" w:rsidTr="00151660">
        <w:trPr>
          <w:trHeight w:val="340"/>
          <w:jc w:val="center"/>
        </w:trPr>
        <w:tc>
          <w:tcPr>
            <w:tcW w:w="1985" w:type="dxa"/>
            <w:vMerge/>
            <w:tcBorders>
              <w:top w:val="nil"/>
              <w:left w:val="single" w:sz="4" w:space="0" w:color="auto"/>
              <w:bottom w:val="single" w:sz="4" w:space="0" w:color="auto"/>
              <w:right w:val="single" w:sz="4" w:space="0" w:color="auto"/>
            </w:tcBorders>
            <w:hideMark/>
          </w:tcPr>
          <w:p w:rsidR="00E5781C" w:rsidRPr="008D1952" w:rsidRDefault="00E5781C" w:rsidP="00151660">
            <w:pPr>
              <w:bidi w:val="0"/>
              <w:rPr>
                <w:rFonts w:ascii="Arial" w:hAnsi="Arial" w:cs="Arial"/>
                <w:sz w:val="18"/>
                <w:szCs w:val="18"/>
                <w:lang w:eastAsia="en-US"/>
              </w:rPr>
            </w:pPr>
          </w:p>
        </w:tc>
        <w:tc>
          <w:tcPr>
            <w:tcW w:w="858" w:type="dxa"/>
            <w:tcBorders>
              <w:top w:val="nil"/>
              <w:left w:val="single" w:sz="4" w:space="0" w:color="auto"/>
              <w:bottom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female</w:t>
            </w:r>
          </w:p>
        </w:tc>
        <w:tc>
          <w:tcPr>
            <w:tcW w:w="917"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.0%</w:t>
            </w:r>
          </w:p>
        </w:tc>
        <w:tc>
          <w:tcPr>
            <w:tcW w:w="947"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.0%</w:t>
            </w:r>
          </w:p>
        </w:tc>
        <w:tc>
          <w:tcPr>
            <w:tcW w:w="960"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.0%</w:t>
            </w:r>
          </w:p>
        </w:tc>
        <w:tc>
          <w:tcPr>
            <w:tcW w:w="960"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.1%</w:t>
            </w:r>
          </w:p>
        </w:tc>
        <w:tc>
          <w:tcPr>
            <w:tcW w:w="1067" w:type="dxa"/>
            <w:tcBorders>
              <w:top w:val="nil"/>
              <w:bottom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52.1%</w:t>
            </w:r>
          </w:p>
        </w:tc>
        <w:tc>
          <w:tcPr>
            <w:tcW w:w="1236" w:type="dxa"/>
            <w:tcBorders>
              <w:top w:val="nil"/>
              <w:bottom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4</w:t>
            </w:r>
          </w:p>
        </w:tc>
      </w:tr>
      <w:tr w:rsidR="00E5781C" w:rsidRPr="008D1952" w:rsidTr="00151660">
        <w:trPr>
          <w:trHeight w:val="340"/>
          <w:jc w:val="center"/>
        </w:trPr>
        <w:tc>
          <w:tcPr>
            <w:tcW w:w="1985" w:type="dxa"/>
            <w:vMerge w:val="restart"/>
            <w:tcBorders>
              <w:top w:val="nil"/>
              <w:left w:val="single" w:sz="4" w:space="0" w:color="auto"/>
              <w:bottom w:val="single" w:sz="4" w:space="0" w:color="auto"/>
              <w:right w:val="single" w:sz="4" w:space="0" w:color="auto"/>
            </w:tcBorders>
            <w:shd w:val="clear" w:color="auto" w:fill="auto"/>
            <w:hideMark/>
          </w:tcPr>
          <w:p w:rsidR="00E5781C" w:rsidRPr="008D1952" w:rsidRDefault="00CF0959" w:rsidP="00151660">
            <w:pPr>
              <w:bidi w:val="0"/>
              <w:rPr>
                <w:rFonts w:ascii="Arial" w:hAnsi="Arial" w:cs="Arial"/>
                <w:sz w:val="18"/>
                <w:szCs w:val="18"/>
                <w:lang w:eastAsia="en-US"/>
              </w:rPr>
            </w:pPr>
            <w:r w:rsidRPr="008D1952">
              <w:rPr>
                <w:rFonts w:ascii="Arial" w:hAnsi="Arial" w:cs="Arial"/>
                <w:sz w:val="18"/>
                <w:szCs w:val="18"/>
                <w:lang w:eastAsia="en-US"/>
              </w:rPr>
              <w:t>Palestinian security forces</w:t>
            </w:r>
          </w:p>
        </w:tc>
        <w:tc>
          <w:tcPr>
            <w:tcW w:w="858" w:type="dxa"/>
            <w:tcBorders>
              <w:top w:val="single" w:sz="4" w:space="0" w:color="auto"/>
              <w:left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male</w:t>
            </w:r>
          </w:p>
        </w:tc>
        <w:tc>
          <w:tcPr>
            <w:tcW w:w="917"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1.0%</w:t>
            </w:r>
          </w:p>
        </w:tc>
        <w:tc>
          <w:tcPr>
            <w:tcW w:w="947"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.2%</w:t>
            </w:r>
          </w:p>
        </w:tc>
        <w:tc>
          <w:tcPr>
            <w:tcW w:w="960"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.6%</w:t>
            </w:r>
          </w:p>
        </w:tc>
        <w:tc>
          <w:tcPr>
            <w:tcW w:w="960"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1.5%</w:t>
            </w:r>
          </w:p>
        </w:tc>
        <w:tc>
          <w:tcPr>
            <w:tcW w:w="1067"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21.3%</w:t>
            </w:r>
          </w:p>
        </w:tc>
        <w:tc>
          <w:tcPr>
            <w:tcW w:w="1236" w:type="dxa"/>
            <w:tcBorders>
              <w:top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59</w:t>
            </w:r>
          </w:p>
        </w:tc>
      </w:tr>
      <w:tr w:rsidR="00E5781C" w:rsidRPr="008D1952" w:rsidTr="00151660">
        <w:trPr>
          <w:trHeight w:val="340"/>
          <w:jc w:val="center"/>
        </w:trPr>
        <w:tc>
          <w:tcPr>
            <w:tcW w:w="1985" w:type="dxa"/>
            <w:vMerge/>
            <w:tcBorders>
              <w:top w:val="nil"/>
              <w:left w:val="single" w:sz="4" w:space="0" w:color="auto"/>
              <w:bottom w:val="single" w:sz="4" w:space="0" w:color="auto"/>
              <w:right w:val="single" w:sz="4" w:space="0" w:color="auto"/>
            </w:tcBorders>
            <w:hideMark/>
          </w:tcPr>
          <w:p w:rsidR="00E5781C" w:rsidRPr="008D1952" w:rsidRDefault="00E5781C" w:rsidP="00151660">
            <w:pPr>
              <w:bidi w:val="0"/>
              <w:rPr>
                <w:rFonts w:ascii="Arial" w:hAnsi="Arial" w:cs="Arial"/>
                <w:sz w:val="18"/>
                <w:szCs w:val="18"/>
                <w:lang w:eastAsia="en-US"/>
              </w:rPr>
            </w:pPr>
          </w:p>
        </w:tc>
        <w:tc>
          <w:tcPr>
            <w:tcW w:w="858" w:type="dxa"/>
            <w:tcBorders>
              <w:top w:val="nil"/>
              <w:left w:val="single" w:sz="4" w:space="0" w:color="auto"/>
              <w:bottom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female</w:t>
            </w:r>
          </w:p>
        </w:tc>
        <w:tc>
          <w:tcPr>
            <w:tcW w:w="917"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.2%</w:t>
            </w:r>
          </w:p>
        </w:tc>
        <w:tc>
          <w:tcPr>
            <w:tcW w:w="947"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.1%</w:t>
            </w:r>
          </w:p>
        </w:tc>
        <w:tc>
          <w:tcPr>
            <w:tcW w:w="960"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.1%</w:t>
            </w:r>
          </w:p>
        </w:tc>
        <w:tc>
          <w:tcPr>
            <w:tcW w:w="960"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.4%</w:t>
            </w:r>
          </w:p>
        </w:tc>
        <w:tc>
          <w:tcPr>
            <w:tcW w:w="1067" w:type="dxa"/>
            <w:tcBorders>
              <w:top w:val="nil"/>
              <w:bottom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40.9%</w:t>
            </w:r>
          </w:p>
        </w:tc>
        <w:tc>
          <w:tcPr>
            <w:tcW w:w="1236" w:type="dxa"/>
            <w:tcBorders>
              <w:top w:val="nil"/>
              <w:bottom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9</w:t>
            </w:r>
          </w:p>
        </w:tc>
      </w:tr>
      <w:tr w:rsidR="00E5781C" w:rsidRPr="008D1952" w:rsidTr="00151660">
        <w:trPr>
          <w:trHeight w:val="340"/>
          <w:jc w:val="center"/>
        </w:trPr>
        <w:tc>
          <w:tcPr>
            <w:tcW w:w="1985" w:type="dxa"/>
            <w:vMerge w:val="restart"/>
            <w:tcBorders>
              <w:top w:val="nil"/>
              <w:left w:val="single" w:sz="4" w:space="0" w:color="auto"/>
              <w:bottom w:val="single" w:sz="4" w:space="0" w:color="auto"/>
              <w:right w:val="single" w:sz="4" w:space="0" w:color="auto"/>
            </w:tcBorders>
            <w:shd w:val="clear" w:color="auto" w:fill="auto"/>
            <w:hideMark/>
          </w:tcPr>
          <w:p w:rsidR="00E5781C" w:rsidRPr="008D1952" w:rsidRDefault="00CF0959" w:rsidP="00151660">
            <w:pPr>
              <w:bidi w:val="0"/>
              <w:rPr>
                <w:rFonts w:ascii="Arial" w:hAnsi="Arial" w:cs="Arial"/>
                <w:sz w:val="18"/>
                <w:szCs w:val="18"/>
                <w:lang w:eastAsia="en-US"/>
              </w:rPr>
            </w:pPr>
            <w:r w:rsidRPr="008D1952">
              <w:rPr>
                <w:rFonts w:ascii="Arial" w:hAnsi="Arial" w:cs="Arial"/>
                <w:sz w:val="18"/>
                <w:szCs w:val="18"/>
                <w:lang w:eastAsia="en-US"/>
              </w:rPr>
              <w:t>Ministry of Justice</w:t>
            </w:r>
          </w:p>
        </w:tc>
        <w:tc>
          <w:tcPr>
            <w:tcW w:w="858" w:type="dxa"/>
            <w:tcBorders>
              <w:top w:val="single" w:sz="4" w:space="0" w:color="auto"/>
              <w:left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male</w:t>
            </w:r>
          </w:p>
        </w:tc>
        <w:tc>
          <w:tcPr>
            <w:tcW w:w="917"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.8%</w:t>
            </w:r>
          </w:p>
        </w:tc>
        <w:tc>
          <w:tcPr>
            <w:tcW w:w="947"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.2%</w:t>
            </w:r>
          </w:p>
        </w:tc>
        <w:tc>
          <w:tcPr>
            <w:tcW w:w="960"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.5%</w:t>
            </w:r>
          </w:p>
        </w:tc>
        <w:tc>
          <w:tcPr>
            <w:tcW w:w="960"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1.2%</w:t>
            </w:r>
          </w:p>
        </w:tc>
        <w:tc>
          <w:tcPr>
            <w:tcW w:w="1067"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21.1%</w:t>
            </w:r>
          </w:p>
        </w:tc>
        <w:tc>
          <w:tcPr>
            <w:tcW w:w="1236" w:type="dxa"/>
            <w:tcBorders>
              <w:top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43</w:t>
            </w:r>
          </w:p>
        </w:tc>
      </w:tr>
      <w:tr w:rsidR="00E5781C" w:rsidRPr="008D1952" w:rsidTr="00151660">
        <w:trPr>
          <w:trHeight w:val="340"/>
          <w:jc w:val="center"/>
        </w:trPr>
        <w:tc>
          <w:tcPr>
            <w:tcW w:w="1985" w:type="dxa"/>
            <w:vMerge/>
            <w:tcBorders>
              <w:top w:val="nil"/>
              <w:left w:val="single" w:sz="4" w:space="0" w:color="auto"/>
              <w:bottom w:val="single" w:sz="4" w:space="0" w:color="auto"/>
              <w:right w:val="single" w:sz="4" w:space="0" w:color="auto"/>
            </w:tcBorders>
            <w:hideMark/>
          </w:tcPr>
          <w:p w:rsidR="00E5781C" w:rsidRPr="008D1952" w:rsidRDefault="00E5781C" w:rsidP="00151660">
            <w:pPr>
              <w:bidi w:val="0"/>
              <w:rPr>
                <w:rFonts w:ascii="Arial" w:hAnsi="Arial" w:cs="Arial"/>
                <w:sz w:val="18"/>
                <w:szCs w:val="18"/>
                <w:lang w:eastAsia="en-US"/>
              </w:rPr>
            </w:pPr>
          </w:p>
        </w:tc>
        <w:tc>
          <w:tcPr>
            <w:tcW w:w="858" w:type="dxa"/>
            <w:tcBorders>
              <w:top w:val="nil"/>
              <w:left w:val="single" w:sz="4" w:space="0" w:color="auto"/>
              <w:bottom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female</w:t>
            </w:r>
          </w:p>
        </w:tc>
        <w:tc>
          <w:tcPr>
            <w:tcW w:w="917"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.2%</w:t>
            </w:r>
          </w:p>
        </w:tc>
        <w:tc>
          <w:tcPr>
            <w:tcW w:w="947"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.1%</w:t>
            </w:r>
          </w:p>
        </w:tc>
        <w:tc>
          <w:tcPr>
            <w:tcW w:w="960"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.1%</w:t>
            </w:r>
          </w:p>
        </w:tc>
        <w:tc>
          <w:tcPr>
            <w:tcW w:w="960"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.5%</w:t>
            </w:r>
          </w:p>
        </w:tc>
        <w:tc>
          <w:tcPr>
            <w:tcW w:w="1067" w:type="dxa"/>
            <w:tcBorders>
              <w:top w:val="nil"/>
              <w:bottom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44.9%</w:t>
            </w:r>
          </w:p>
        </w:tc>
        <w:tc>
          <w:tcPr>
            <w:tcW w:w="1236" w:type="dxa"/>
            <w:tcBorders>
              <w:top w:val="nil"/>
              <w:bottom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10</w:t>
            </w:r>
          </w:p>
        </w:tc>
      </w:tr>
      <w:tr w:rsidR="00E5781C" w:rsidRPr="008D1952" w:rsidTr="00151660">
        <w:trPr>
          <w:trHeight w:val="340"/>
          <w:jc w:val="center"/>
        </w:trPr>
        <w:tc>
          <w:tcPr>
            <w:tcW w:w="1985" w:type="dxa"/>
            <w:vMerge w:val="restart"/>
            <w:tcBorders>
              <w:top w:val="nil"/>
              <w:left w:val="single" w:sz="4" w:space="0" w:color="auto"/>
              <w:bottom w:val="single" w:sz="4" w:space="0" w:color="auto"/>
              <w:right w:val="single" w:sz="4" w:space="0" w:color="auto"/>
            </w:tcBorders>
            <w:shd w:val="clear" w:color="auto" w:fill="auto"/>
            <w:hideMark/>
          </w:tcPr>
          <w:p w:rsidR="00E5781C" w:rsidRPr="008D1952" w:rsidRDefault="00CF0959" w:rsidP="00151660">
            <w:pPr>
              <w:bidi w:val="0"/>
              <w:rPr>
                <w:rFonts w:ascii="Arial" w:hAnsi="Arial" w:cs="Arial"/>
                <w:sz w:val="18"/>
                <w:szCs w:val="18"/>
                <w:lang w:eastAsia="en-US"/>
              </w:rPr>
            </w:pPr>
            <w:r w:rsidRPr="008D1952">
              <w:rPr>
                <w:rFonts w:ascii="Arial" w:hAnsi="Arial" w:cs="Arial"/>
                <w:sz w:val="18"/>
                <w:szCs w:val="18"/>
                <w:lang w:eastAsia="en-US"/>
              </w:rPr>
              <w:t>Ministry of Interior</w:t>
            </w:r>
          </w:p>
        </w:tc>
        <w:tc>
          <w:tcPr>
            <w:tcW w:w="858" w:type="dxa"/>
            <w:tcBorders>
              <w:top w:val="single" w:sz="4" w:space="0" w:color="auto"/>
              <w:left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male</w:t>
            </w:r>
          </w:p>
        </w:tc>
        <w:tc>
          <w:tcPr>
            <w:tcW w:w="917"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10.9%</w:t>
            </w:r>
          </w:p>
        </w:tc>
        <w:tc>
          <w:tcPr>
            <w:tcW w:w="947"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.7%</w:t>
            </w:r>
          </w:p>
        </w:tc>
        <w:tc>
          <w:tcPr>
            <w:tcW w:w="960"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9.7%</w:t>
            </w:r>
          </w:p>
        </w:tc>
        <w:tc>
          <w:tcPr>
            <w:tcW w:w="960"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12.3%</w:t>
            </w:r>
          </w:p>
        </w:tc>
        <w:tc>
          <w:tcPr>
            <w:tcW w:w="1067"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6.0%</w:t>
            </w:r>
          </w:p>
        </w:tc>
        <w:tc>
          <w:tcPr>
            <w:tcW w:w="1236" w:type="dxa"/>
            <w:tcBorders>
              <w:top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642</w:t>
            </w:r>
          </w:p>
        </w:tc>
      </w:tr>
      <w:tr w:rsidR="00E5781C" w:rsidRPr="008D1952" w:rsidTr="00151660">
        <w:trPr>
          <w:trHeight w:val="340"/>
          <w:jc w:val="center"/>
        </w:trPr>
        <w:tc>
          <w:tcPr>
            <w:tcW w:w="1985" w:type="dxa"/>
            <w:vMerge/>
            <w:tcBorders>
              <w:top w:val="nil"/>
              <w:left w:val="single" w:sz="4" w:space="0" w:color="auto"/>
              <w:bottom w:val="single" w:sz="4" w:space="0" w:color="auto"/>
              <w:right w:val="single" w:sz="4" w:space="0" w:color="auto"/>
            </w:tcBorders>
            <w:hideMark/>
          </w:tcPr>
          <w:p w:rsidR="00E5781C" w:rsidRPr="008D1952" w:rsidRDefault="00E5781C" w:rsidP="00151660">
            <w:pPr>
              <w:bidi w:val="0"/>
              <w:rPr>
                <w:rFonts w:ascii="Arial" w:hAnsi="Arial" w:cs="Arial"/>
                <w:sz w:val="18"/>
                <w:szCs w:val="18"/>
                <w:lang w:eastAsia="en-US"/>
              </w:rPr>
            </w:pPr>
          </w:p>
        </w:tc>
        <w:tc>
          <w:tcPr>
            <w:tcW w:w="858" w:type="dxa"/>
            <w:tcBorders>
              <w:top w:val="nil"/>
              <w:left w:val="single" w:sz="4" w:space="0" w:color="auto"/>
              <w:bottom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female</w:t>
            </w:r>
          </w:p>
        </w:tc>
        <w:tc>
          <w:tcPr>
            <w:tcW w:w="917" w:type="dxa"/>
            <w:tcBorders>
              <w:top w:val="nil"/>
              <w:bottom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5.8%</w:t>
            </w:r>
          </w:p>
        </w:tc>
        <w:tc>
          <w:tcPr>
            <w:tcW w:w="947"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.5%</w:t>
            </w:r>
          </w:p>
        </w:tc>
        <w:tc>
          <w:tcPr>
            <w:tcW w:w="960" w:type="dxa"/>
            <w:tcBorders>
              <w:top w:val="nil"/>
              <w:bottom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4.9%</w:t>
            </w:r>
          </w:p>
        </w:tc>
        <w:tc>
          <w:tcPr>
            <w:tcW w:w="960" w:type="dxa"/>
            <w:tcBorders>
              <w:top w:val="nil"/>
              <w:bottom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6.8%</w:t>
            </w:r>
          </w:p>
        </w:tc>
        <w:tc>
          <w:tcPr>
            <w:tcW w:w="1067" w:type="dxa"/>
            <w:tcBorders>
              <w:top w:val="nil"/>
              <w:bottom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8.6%</w:t>
            </w:r>
          </w:p>
        </w:tc>
        <w:tc>
          <w:tcPr>
            <w:tcW w:w="1236" w:type="dxa"/>
            <w:tcBorders>
              <w:top w:val="nil"/>
              <w:bottom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321</w:t>
            </w:r>
          </w:p>
        </w:tc>
      </w:tr>
      <w:tr w:rsidR="00E5781C" w:rsidRPr="008D1952" w:rsidTr="00151660">
        <w:trPr>
          <w:trHeight w:val="340"/>
          <w:jc w:val="center"/>
        </w:trPr>
        <w:tc>
          <w:tcPr>
            <w:tcW w:w="1985" w:type="dxa"/>
            <w:vMerge w:val="restart"/>
            <w:tcBorders>
              <w:top w:val="nil"/>
              <w:left w:val="single" w:sz="4" w:space="0" w:color="auto"/>
              <w:bottom w:val="single" w:sz="4" w:space="0" w:color="auto"/>
              <w:right w:val="single" w:sz="4" w:space="0" w:color="auto"/>
            </w:tcBorders>
            <w:shd w:val="clear" w:color="auto" w:fill="auto"/>
            <w:hideMark/>
          </w:tcPr>
          <w:p w:rsidR="00E5781C" w:rsidRPr="008D1952" w:rsidRDefault="00CF0959" w:rsidP="00151660">
            <w:pPr>
              <w:bidi w:val="0"/>
              <w:ind w:left="199"/>
              <w:rPr>
                <w:rFonts w:ascii="Arial" w:hAnsi="Arial" w:cs="Arial"/>
                <w:sz w:val="18"/>
                <w:szCs w:val="18"/>
                <w:lang w:eastAsia="en-US"/>
              </w:rPr>
            </w:pPr>
            <w:r w:rsidRPr="008D1952">
              <w:rPr>
                <w:rFonts w:ascii="Arial" w:hAnsi="Arial" w:cs="Arial"/>
                <w:sz w:val="18"/>
                <w:szCs w:val="18"/>
                <w:lang w:eastAsia="en-US"/>
              </w:rPr>
              <w:t>Informal mechanisms</w:t>
            </w:r>
          </w:p>
        </w:tc>
        <w:tc>
          <w:tcPr>
            <w:tcW w:w="858" w:type="dxa"/>
            <w:tcBorders>
              <w:top w:val="single" w:sz="4" w:space="0" w:color="auto"/>
              <w:left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male</w:t>
            </w:r>
          </w:p>
        </w:tc>
        <w:tc>
          <w:tcPr>
            <w:tcW w:w="917"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.7%</w:t>
            </w:r>
          </w:p>
        </w:tc>
        <w:tc>
          <w:tcPr>
            <w:tcW w:w="947"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.2%</w:t>
            </w:r>
          </w:p>
        </w:tc>
        <w:tc>
          <w:tcPr>
            <w:tcW w:w="960"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.4%</w:t>
            </w:r>
          </w:p>
        </w:tc>
        <w:tc>
          <w:tcPr>
            <w:tcW w:w="960"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1.0%</w:t>
            </w:r>
          </w:p>
        </w:tc>
        <w:tc>
          <w:tcPr>
            <w:tcW w:w="1067"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22.5%</w:t>
            </w:r>
          </w:p>
        </w:tc>
        <w:tc>
          <w:tcPr>
            <w:tcW w:w="1236" w:type="dxa"/>
            <w:tcBorders>
              <w:top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40</w:t>
            </w:r>
          </w:p>
        </w:tc>
      </w:tr>
      <w:tr w:rsidR="00E5781C" w:rsidRPr="008D1952" w:rsidTr="00151660">
        <w:trPr>
          <w:trHeight w:val="340"/>
          <w:jc w:val="center"/>
        </w:trPr>
        <w:tc>
          <w:tcPr>
            <w:tcW w:w="1985" w:type="dxa"/>
            <w:vMerge/>
            <w:tcBorders>
              <w:top w:val="nil"/>
              <w:left w:val="single" w:sz="4" w:space="0" w:color="auto"/>
              <w:bottom w:val="single" w:sz="4" w:space="0" w:color="auto"/>
              <w:right w:val="single" w:sz="4" w:space="0" w:color="auto"/>
            </w:tcBorders>
            <w:hideMark/>
          </w:tcPr>
          <w:p w:rsidR="00E5781C" w:rsidRPr="008D1952" w:rsidRDefault="00E5781C" w:rsidP="00151660">
            <w:pPr>
              <w:bidi w:val="0"/>
              <w:rPr>
                <w:rFonts w:ascii="Arial" w:hAnsi="Arial" w:cs="Arial"/>
                <w:sz w:val="18"/>
                <w:szCs w:val="18"/>
                <w:lang w:eastAsia="en-US"/>
              </w:rPr>
            </w:pPr>
          </w:p>
        </w:tc>
        <w:tc>
          <w:tcPr>
            <w:tcW w:w="858" w:type="dxa"/>
            <w:tcBorders>
              <w:top w:val="nil"/>
              <w:left w:val="single" w:sz="4" w:space="0" w:color="auto"/>
              <w:bottom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female</w:t>
            </w:r>
          </w:p>
        </w:tc>
        <w:tc>
          <w:tcPr>
            <w:tcW w:w="917"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.0%</w:t>
            </w:r>
          </w:p>
        </w:tc>
        <w:tc>
          <w:tcPr>
            <w:tcW w:w="947"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.0%</w:t>
            </w:r>
          </w:p>
        </w:tc>
        <w:tc>
          <w:tcPr>
            <w:tcW w:w="960"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.0%</w:t>
            </w:r>
          </w:p>
        </w:tc>
        <w:tc>
          <w:tcPr>
            <w:tcW w:w="960"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.1%</w:t>
            </w:r>
          </w:p>
        </w:tc>
        <w:tc>
          <w:tcPr>
            <w:tcW w:w="1067" w:type="dxa"/>
            <w:tcBorders>
              <w:top w:val="nil"/>
              <w:bottom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71.6%</w:t>
            </w:r>
          </w:p>
        </w:tc>
        <w:tc>
          <w:tcPr>
            <w:tcW w:w="1236" w:type="dxa"/>
            <w:tcBorders>
              <w:top w:val="nil"/>
              <w:bottom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2</w:t>
            </w:r>
          </w:p>
        </w:tc>
      </w:tr>
      <w:tr w:rsidR="00E5781C" w:rsidRPr="008D1952" w:rsidTr="00151660">
        <w:trPr>
          <w:trHeight w:val="340"/>
          <w:jc w:val="center"/>
        </w:trPr>
        <w:tc>
          <w:tcPr>
            <w:tcW w:w="1985" w:type="dxa"/>
            <w:vMerge w:val="restart"/>
            <w:tcBorders>
              <w:top w:val="nil"/>
              <w:left w:val="single" w:sz="4" w:space="0" w:color="auto"/>
              <w:bottom w:val="single" w:sz="4" w:space="0" w:color="auto"/>
              <w:right w:val="single" w:sz="4" w:space="0" w:color="auto"/>
            </w:tcBorders>
            <w:shd w:val="clear" w:color="auto" w:fill="auto"/>
            <w:hideMark/>
          </w:tcPr>
          <w:p w:rsidR="00E5781C" w:rsidRPr="008D1952" w:rsidRDefault="00CF0959" w:rsidP="00151660">
            <w:pPr>
              <w:bidi w:val="0"/>
              <w:rPr>
                <w:rFonts w:ascii="Arial" w:hAnsi="Arial" w:cs="Arial"/>
                <w:sz w:val="18"/>
                <w:szCs w:val="18"/>
                <w:rtl/>
                <w:lang w:eastAsia="en-US"/>
              </w:rPr>
            </w:pPr>
            <w:r w:rsidRPr="008D1952">
              <w:rPr>
                <w:rFonts w:ascii="Arial" w:hAnsi="Arial" w:cs="Arial"/>
                <w:sz w:val="18"/>
                <w:szCs w:val="18"/>
                <w:lang w:eastAsia="en-US"/>
              </w:rPr>
              <w:t>Tribal justice</w:t>
            </w:r>
          </w:p>
        </w:tc>
        <w:tc>
          <w:tcPr>
            <w:tcW w:w="858" w:type="dxa"/>
            <w:tcBorders>
              <w:top w:val="single" w:sz="4" w:space="0" w:color="auto"/>
              <w:left w:val="single" w:sz="4" w:space="0" w:color="auto"/>
            </w:tcBorders>
            <w:shd w:val="clear" w:color="auto" w:fill="auto"/>
            <w:noWrap/>
            <w:vAlign w:val="center"/>
            <w:hideMark/>
          </w:tcPr>
          <w:p w:rsidR="00E5781C" w:rsidRPr="008D1952" w:rsidRDefault="00E5781C" w:rsidP="000476F5">
            <w:pPr>
              <w:bidi w:val="0"/>
              <w:rPr>
                <w:rFonts w:ascii="Arial" w:hAnsi="Arial" w:cs="Arial"/>
                <w:sz w:val="18"/>
                <w:szCs w:val="18"/>
                <w:lang w:eastAsia="en-US"/>
              </w:rPr>
            </w:pPr>
            <w:r w:rsidRPr="008D1952">
              <w:rPr>
                <w:rFonts w:ascii="Arial" w:hAnsi="Arial" w:cs="Arial"/>
                <w:sz w:val="18"/>
                <w:szCs w:val="18"/>
                <w:lang w:eastAsia="en-US"/>
              </w:rPr>
              <w:t>male</w:t>
            </w:r>
          </w:p>
        </w:tc>
        <w:tc>
          <w:tcPr>
            <w:tcW w:w="917"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3.4%</w:t>
            </w:r>
          </w:p>
        </w:tc>
        <w:tc>
          <w:tcPr>
            <w:tcW w:w="947" w:type="dxa"/>
            <w:tcBorders>
              <w:top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.4%</w:t>
            </w:r>
          </w:p>
        </w:tc>
        <w:tc>
          <w:tcPr>
            <w:tcW w:w="960"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2.7%</w:t>
            </w:r>
          </w:p>
        </w:tc>
        <w:tc>
          <w:tcPr>
            <w:tcW w:w="960"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4.2%</w:t>
            </w:r>
          </w:p>
        </w:tc>
        <w:tc>
          <w:tcPr>
            <w:tcW w:w="1067" w:type="dxa"/>
            <w:tcBorders>
              <w:top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11.4%</w:t>
            </w:r>
          </w:p>
        </w:tc>
        <w:tc>
          <w:tcPr>
            <w:tcW w:w="1236" w:type="dxa"/>
            <w:tcBorders>
              <w:top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185</w:t>
            </w:r>
          </w:p>
        </w:tc>
      </w:tr>
      <w:tr w:rsidR="00E5781C" w:rsidRPr="008D1952" w:rsidTr="00151660">
        <w:trPr>
          <w:trHeight w:val="340"/>
          <w:jc w:val="center"/>
        </w:trPr>
        <w:tc>
          <w:tcPr>
            <w:tcW w:w="1985" w:type="dxa"/>
            <w:vMerge/>
            <w:tcBorders>
              <w:top w:val="nil"/>
              <w:left w:val="single" w:sz="4" w:space="0" w:color="auto"/>
              <w:bottom w:val="single" w:sz="4" w:space="0" w:color="auto"/>
              <w:right w:val="single" w:sz="4" w:space="0" w:color="auto"/>
            </w:tcBorders>
            <w:vAlign w:val="center"/>
            <w:hideMark/>
          </w:tcPr>
          <w:p w:rsidR="00E5781C" w:rsidRPr="008D1952" w:rsidRDefault="00E5781C" w:rsidP="00AC476D">
            <w:pPr>
              <w:bidi w:val="0"/>
              <w:rPr>
                <w:rFonts w:ascii="Arial" w:hAnsi="Arial" w:cs="Arial"/>
                <w:sz w:val="18"/>
                <w:szCs w:val="18"/>
                <w:lang w:eastAsia="en-US"/>
              </w:rPr>
            </w:pPr>
          </w:p>
        </w:tc>
        <w:tc>
          <w:tcPr>
            <w:tcW w:w="858" w:type="dxa"/>
            <w:tcBorders>
              <w:top w:val="nil"/>
              <w:left w:val="single" w:sz="4" w:space="0" w:color="auto"/>
              <w:bottom w:val="single" w:sz="4" w:space="0" w:color="auto"/>
            </w:tcBorders>
            <w:shd w:val="clear" w:color="auto" w:fill="auto"/>
            <w:noWrap/>
            <w:vAlign w:val="center"/>
            <w:hideMark/>
          </w:tcPr>
          <w:p w:rsidR="00E5781C" w:rsidRPr="008D1952" w:rsidRDefault="00E5781C" w:rsidP="00AC476D">
            <w:pPr>
              <w:bidi w:val="0"/>
              <w:rPr>
                <w:rFonts w:ascii="Arial" w:hAnsi="Arial" w:cs="Arial"/>
                <w:sz w:val="18"/>
                <w:szCs w:val="18"/>
                <w:lang w:eastAsia="en-US"/>
              </w:rPr>
            </w:pPr>
            <w:r w:rsidRPr="008D1952">
              <w:rPr>
                <w:rFonts w:ascii="Arial" w:hAnsi="Arial" w:cs="Arial"/>
                <w:sz w:val="18"/>
                <w:szCs w:val="18"/>
                <w:lang w:eastAsia="en-US"/>
              </w:rPr>
              <w:t>female</w:t>
            </w:r>
          </w:p>
        </w:tc>
        <w:tc>
          <w:tcPr>
            <w:tcW w:w="917"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.4%</w:t>
            </w:r>
          </w:p>
        </w:tc>
        <w:tc>
          <w:tcPr>
            <w:tcW w:w="947"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.1%</w:t>
            </w:r>
          </w:p>
        </w:tc>
        <w:tc>
          <w:tcPr>
            <w:tcW w:w="960"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.3%</w:t>
            </w:r>
          </w:p>
        </w:tc>
        <w:tc>
          <w:tcPr>
            <w:tcW w:w="960" w:type="dxa"/>
            <w:tcBorders>
              <w:top w:val="nil"/>
              <w:bottom w:val="single" w:sz="4" w:space="0" w:color="auto"/>
            </w:tcBorders>
            <w:shd w:val="clear" w:color="000000" w:fill="FFFFFF"/>
            <w:noWrap/>
            <w:vAlign w:val="center"/>
            <w:hideMark/>
          </w:tcPr>
          <w:p w:rsidR="00E5781C" w:rsidRPr="008D1952" w:rsidRDefault="0050458E" w:rsidP="00151660">
            <w:pPr>
              <w:bidi w:val="0"/>
              <w:jc w:val="right"/>
              <w:rPr>
                <w:rFonts w:ascii="Arial" w:hAnsi="Arial" w:cs="Arial"/>
                <w:sz w:val="18"/>
                <w:szCs w:val="18"/>
                <w:lang w:eastAsia="en-US"/>
              </w:rPr>
            </w:pPr>
            <w:r w:rsidRPr="008D1952">
              <w:rPr>
                <w:rFonts w:ascii="Arial" w:hAnsi="Arial" w:cs="Arial"/>
                <w:sz w:val="18"/>
                <w:szCs w:val="18"/>
                <w:lang w:eastAsia="en-US"/>
              </w:rPr>
              <w:t>0</w:t>
            </w:r>
            <w:r w:rsidR="00E5781C" w:rsidRPr="008D1952">
              <w:rPr>
                <w:rFonts w:ascii="Arial" w:hAnsi="Arial" w:cs="Arial"/>
                <w:sz w:val="18"/>
                <w:szCs w:val="18"/>
                <w:lang w:eastAsia="en-US"/>
              </w:rPr>
              <w:t>.6%</w:t>
            </w:r>
          </w:p>
        </w:tc>
        <w:tc>
          <w:tcPr>
            <w:tcW w:w="1067" w:type="dxa"/>
            <w:tcBorders>
              <w:top w:val="nil"/>
              <w:bottom w:val="single" w:sz="4" w:space="0" w:color="auto"/>
            </w:tcBorders>
            <w:shd w:val="clear" w:color="000000" w:fill="FFFFFF"/>
            <w:noWrap/>
            <w:vAlign w:val="center"/>
            <w:hideMark/>
          </w:tcPr>
          <w:p w:rsidR="00E5781C" w:rsidRPr="008D1952" w:rsidRDefault="00E5781C" w:rsidP="00151660">
            <w:pPr>
              <w:bidi w:val="0"/>
              <w:jc w:val="right"/>
              <w:rPr>
                <w:rFonts w:ascii="Arial" w:hAnsi="Arial" w:cs="Arial"/>
                <w:sz w:val="18"/>
                <w:szCs w:val="18"/>
                <w:lang w:eastAsia="en-US"/>
              </w:rPr>
            </w:pPr>
            <w:r w:rsidRPr="008D1952">
              <w:rPr>
                <w:rFonts w:ascii="Arial" w:hAnsi="Arial" w:cs="Arial"/>
                <w:sz w:val="18"/>
                <w:szCs w:val="18"/>
                <w:lang w:eastAsia="en-US"/>
              </w:rPr>
              <w:t>23.2%</w:t>
            </w:r>
          </w:p>
        </w:tc>
        <w:tc>
          <w:tcPr>
            <w:tcW w:w="1236" w:type="dxa"/>
            <w:tcBorders>
              <w:top w:val="nil"/>
              <w:bottom w:val="single" w:sz="4" w:space="0" w:color="auto"/>
              <w:right w:val="single" w:sz="4" w:space="0" w:color="auto"/>
            </w:tcBorders>
            <w:shd w:val="clear" w:color="000000" w:fill="FFFFFF"/>
            <w:noWrap/>
            <w:vAlign w:val="center"/>
            <w:hideMark/>
          </w:tcPr>
          <w:p w:rsidR="00E5781C" w:rsidRPr="008D1952" w:rsidRDefault="00E5781C" w:rsidP="00151660">
            <w:pPr>
              <w:bidi w:val="0"/>
              <w:ind w:right="200"/>
              <w:jc w:val="right"/>
              <w:rPr>
                <w:rFonts w:ascii="Arial" w:hAnsi="Arial" w:cs="Arial"/>
                <w:sz w:val="18"/>
                <w:szCs w:val="18"/>
                <w:lang w:eastAsia="en-US"/>
              </w:rPr>
            </w:pPr>
            <w:r w:rsidRPr="008D1952">
              <w:rPr>
                <w:rFonts w:ascii="Arial" w:hAnsi="Arial" w:cs="Arial"/>
                <w:sz w:val="18"/>
                <w:szCs w:val="18"/>
                <w:lang w:eastAsia="en-US"/>
              </w:rPr>
              <w:t>26</w:t>
            </w:r>
          </w:p>
        </w:tc>
      </w:tr>
    </w:tbl>
    <w:p w:rsidR="00E5781C" w:rsidRPr="00C84E64" w:rsidRDefault="00E5781C" w:rsidP="00AC476D">
      <w:pPr>
        <w:bidi w:val="0"/>
        <w:ind w:hanging="1"/>
        <w:rPr>
          <w:rFonts w:asciiTheme="majorBidi" w:hAnsiTheme="majorBidi" w:cstheme="majorBidi"/>
          <w:b/>
          <w:bCs/>
          <w:sz w:val="18"/>
          <w:szCs w:val="18"/>
          <w:rtl/>
        </w:rPr>
      </w:pPr>
    </w:p>
    <w:p w:rsidR="00E5781C" w:rsidRPr="00A5000B" w:rsidRDefault="00E5781C" w:rsidP="000A42DF">
      <w:pPr>
        <w:bidi w:val="0"/>
        <w:rPr>
          <w:b/>
          <w:bCs/>
        </w:rPr>
      </w:pPr>
      <w:r w:rsidRPr="00A5000B">
        <w:rPr>
          <w:b/>
          <w:bCs/>
          <w:rtl/>
        </w:rPr>
        <w:t>2.1.4</w:t>
      </w:r>
      <w:r w:rsidR="00CF0959" w:rsidRPr="00A5000B">
        <w:rPr>
          <w:b/>
          <w:bCs/>
        </w:rPr>
        <w:t xml:space="preserve">  </w:t>
      </w:r>
      <w:r w:rsidRPr="00A5000B">
        <w:rPr>
          <w:b/>
          <w:bCs/>
        </w:rPr>
        <w:t xml:space="preserve">Non-Sampling Errors </w:t>
      </w:r>
    </w:p>
    <w:p w:rsidR="00E5781C" w:rsidRPr="00A5000B" w:rsidRDefault="00E5781C" w:rsidP="0050458E">
      <w:pPr>
        <w:tabs>
          <w:tab w:val="center" w:pos="4152"/>
        </w:tabs>
        <w:bidi w:val="0"/>
        <w:ind w:left="-1"/>
        <w:jc w:val="both"/>
        <w:rPr>
          <w:b/>
          <w:bCs/>
        </w:rPr>
      </w:pPr>
      <w:r w:rsidRPr="00A5000B">
        <w:t>Non-statistical errors are possible at all stages of the project, during data collection or processing. Th</w:t>
      </w:r>
      <w:r w:rsidR="00E13889" w:rsidRPr="00A5000B">
        <w:t>o</w:t>
      </w:r>
      <w:r w:rsidRPr="00A5000B">
        <w:t>se are referred to as non-response errors, response errors, interviewing        errors and data entry errors.  To avoid errors and reduce their effects, strenuous efforts were made to train the fieldworkers intensively. They were trained on how to carry out the interview, what to discuss and what to avoid, as well as practical and theoretical training during the training course.  Non sampling errors in the survey resulted from the private data it collected and that some households considered this as interference in the very details of their private life. They refused to cooperate with data. Several methods were used to convince households provide answers and minimize non-response. Efforts were made to tra</w:t>
      </w:r>
      <w:r w:rsidR="00E13889" w:rsidRPr="00A5000B">
        <w:t>in field</w:t>
      </w:r>
      <w:r w:rsidRPr="00A5000B">
        <w:t>workers to use all means to confront this problem</w:t>
      </w:r>
      <w:r w:rsidR="00E13889" w:rsidRPr="00A5000B">
        <w:rPr>
          <w:b/>
          <w:bCs/>
        </w:rPr>
        <w:t>.</w:t>
      </w:r>
    </w:p>
    <w:p w:rsidR="00E13889" w:rsidRPr="00A5000B" w:rsidRDefault="00E13889" w:rsidP="00AC476D">
      <w:pPr>
        <w:tabs>
          <w:tab w:val="center" w:pos="4152"/>
        </w:tabs>
        <w:bidi w:val="0"/>
        <w:ind w:left="-1"/>
        <w:rPr>
          <w:b/>
          <w:bCs/>
          <w:sz w:val="18"/>
          <w:szCs w:val="18"/>
          <w:rtl/>
        </w:rPr>
      </w:pPr>
    </w:p>
    <w:p w:rsidR="00151660" w:rsidRDefault="00E5781C" w:rsidP="000A42DF">
      <w:pPr>
        <w:bidi w:val="0"/>
        <w:rPr>
          <w:b/>
          <w:bCs/>
        </w:rPr>
      </w:pPr>
      <w:r w:rsidRPr="00A5000B">
        <w:rPr>
          <w:b/>
          <w:bCs/>
          <w:rtl/>
        </w:rPr>
        <w:t>3.1.4</w:t>
      </w:r>
      <w:r w:rsidRPr="00A5000B">
        <w:rPr>
          <w:b/>
          <w:bCs/>
        </w:rPr>
        <w:t xml:space="preserve"> Response Rates</w:t>
      </w:r>
    </w:p>
    <w:p w:rsidR="00E5781C" w:rsidRPr="00151660" w:rsidRDefault="00E5781C" w:rsidP="00151660">
      <w:pPr>
        <w:bidi w:val="0"/>
        <w:rPr>
          <w:b/>
          <w:bCs/>
          <w:sz w:val="16"/>
          <w:szCs w:val="16"/>
        </w:rPr>
      </w:pPr>
      <w:r w:rsidRPr="00151660">
        <w:rPr>
          <w:b/>
          <w:bCs/>
          <w:sz w:val="16"/>
          <w:szCs w:val="16"/>
        </w:rPr>
        <w:t xml:space="preserve"> </w:t>
      </w:r>
    </w:p>
    <w:p w:rsidR="00E13889" w:rsidRPr="00A5000B" w:rsidRDefault="00E13889" w:rsidP="00AC476D">
      <w:pPr>
        <w:tabs>
          <w:tab w:val="center" w:pos="4152"/>
        </w:tabs>
        <w:bidi w:val="0"/>
        <w:ind w:left="-1"/>
        <w:rPr>
          <w:b/>
          <w:bCs/>
          <w:rtl/>
        </w:rPr>
      </w:pPr>
      <w:r w:rsidRPr="00A5000B">
        <w:rPr>
          <w:b/>
          <w:bCs/>
        </w:rPr>
        <w:t>Response rates of the citizens' perception</w:t>
      </w:r>
    </w:p>
    <w:p w:rsidR="00C90C65" w:rsidRPr="00AC476D" w:rsidRDefault="00E5781C" w:rsidP="0050458E">
      <w:pPr>
        <w:bidi w:val="0"/>
        <w:jc w:val="both"/>
        <w:rPr>
          <w:rFonts w:asciiTheme="majorBidi" w:hAnsiTheme="majorBidi" w:cstheme="majorBidi"/>
        </w:rPr>
      </w:pPr>
      <w:r w:rsidRPr="00A5000B">
        <w:t>13</w:t>
      </w:r>
      <w:r w:rsidR="00D25568" w:rsidRPr="00A5000B">
        <w:t>,</w:t>
      </w:r>
      <w:r w:rsidRPr="00A5000B">
        <w:t xml:space="preserve">866 households </w:t>
      </w:r>
      <w:r w:rsidR="00E13889" w:rsidRPr="00A5000B">
        <w:t>were</w:t>
      </w:r>
      <w:r w:rsidRPr="00A5000B">
        <w:t xml:space="preserve"> reached as a representative sample to Palestine, where the number of completed questionnaires amounted to 11</w:t>
      </w:r>
      <w:r w:rsidR="00C90C65" w:rsidRPr="00A5000B">
        <w:t>,</w:t>
      </w:r>
      <w:r w:rsidRPr="00A5000B">
        <w:t>602 questionnaires of which 7</w:t>
      </w:r>
      <w:r w:rsidR="00C90C65" w:rsidRPr="00A5000B">
        <w:t>,</w:t>
      </w:r>
      <w:r w:rsidRPr="00A5000B">
        <w:t>848 questionnaires were in the West Bank and 3</w:t>
      </w:r>
      <w:r w:rsidR="00C90C65" w:rsidRPr="00A5000B">
        <w:t>,</w:t>
      </w:r>
      <w:r w:rsidRPr="00A5000B">
        <w:t>754 questionnaires in Gaza Strip. Weights were amended at the level of design stra</w:t>
      </w:r>
      <w:r w:rsidR="00E13889" w:rsidRPr="00A5000B">
        <w:t>ta to modify effects of refusal</w:t>
      </w:r>
      <w:r w:rsidRPr="00A5000B">
        <w:t xml:space="preserve"> rates and lack of responses.</w:t>
      </w:r>
      <w:r w:rsidRPr="00AC476D">
        <w:rPr>
          <w:rFonts w:asciiTheme="majorBidi" w:hAnsiTheme="majorBidi" w:cstheme="majorBidi"/>
        </w:rPr>
        <w:t xml:space="preserve"> </w:t>
      </w:r>
    </w:p>
    <w:p w:rsidR="00E5781C" w:rsidRDefault="00E5781C" w:rsidP="000A42DF">
      <w:pPr>
        <w:bidi w:val="0"/>
        <w:jc w:val="center"/>
        <w:rPr>
          <w:rFonts w:ascii="Arial" w:hAnsi="Arial" w:cs="Arial"/>
          <w:b/>
          <w:bCs/>
          <w:sz w:val="22"/>
          <w:szCs w:val="22"/>
        </w:rPr>
      </w:pPr>
      <w:r w:rsidRPr="00EA7520">
        <w:rPr>
          <w:rFonts w:ascii="Arial" w:hAnsi="Arial" w:cs="Arial"/>
          <w:b/>
          <w:bCs/>
          <w:sz w:val="22"/>
          <w:szCs w:val="22"/>
        </w:rPr>
        <w:lastRenderedPageBreak/>
        <w:t>Items of interview results</w:t>
      </w:r>
    </w:p>
    <w:p w:rsidR="00151660" w:rsidRPr="00151660" w:rsidRDefault="00151660" w:rsidP="00151660">
      <w:pPr>
        <w:bidi w:val="0"/>
        <w:jc w:val="center"/>
        <w:rPr>
          <w:rFonts w:ascii="Arial" w:hAnsi="Arial" w:cs="Arial"/>
          <w:b/>
          <w:bCs/>
          <w:sz w:val="10"/>
          <w:szCs w:val="10"/>
        </w:rPr>
      </w:pPr>
    </w:p>
    <w:p w:rsidR="00E5781C" w:rsidRPr="00AC476D" w:rsidRDefault="00E5781C" w:rsidP="00AC476D">
      <w:pPr>
        <w:bidi w:val="0"/>
        <w:rPr>
          <w:rFonts w:asciiTheme="majorBidi" w:hAnsiTheme="majorBidi" w:cstheme="majorBidi"/>
          <w:b/>
          <w:bCs/>
          <w:sz w:val="6"/>
          <w:szCs w:val="6"/>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71"/>
        <w:gridCol w:w="3400"/>
      </w:tblGrid>
      <w:tr w:rsidR="00E5781C" w:rsidRPr="00EA7520" w:rsidTr="000B5EC0">
        <w:trPr>
          <w:trHeight w:val="340"/>
          <w:jc w:val="center"/>
        </w:trPr>
        <w:tc>
          <w:tcPr>
            <w:tcW w:w="3971" w:type="dxa"/>
            <w:tcBorders>
              <w:bottom w:val="single" w:sz="4" w:space="0" w:color="auto"/>
            </w:tcBorders>
            <w:vAlign w:val="center"/>
          </w:tcPr>
          <w:p w:rsidR="00E5781C" w:rsidRPr="00EA7520" w:rsidRDefault="00E5781C" w:rsidP="000B5EC0">
            <w:pPr>
              <w:bidi w:val="0"/>
              <w:rPr>
                <w:rFonts w:ascii="Arial" w:hAnsi="Arial" w:cs="Arial"/>
                <w:b/>
                <w:bCs/>
                <w:sz w:val="18"/>
                <w:szCs w:val="18"/>
              </w:rPr>
            </w:pPr>
            <w:r w:rsidRPr="00EA7520">
              <w:rPr>
                <w:rFonts w:ascii="Arial" w:hAnsi="Arial" w:cs="Arial"/>
                <w:b/>
                <w:bCs/>
                <w:sz w:val="18"/>
                <w:szCs w:val="18"/>
              </w:rPr>
              <w:t>Results of interviews</w:t>
            </w:r>
          </w:p>
        </w:tc>
        <w:tc>
          <w:tcPr>
            <w:tcW w:w="3400" w:type="dxa"/>
            <w:tcBorders>
              <w:bottom w:val="single" w:sz="4" w:space="0" w:color="auto"/>
            </w:tcBorders>
            <w:vAlign w:val="center"/>
          </w:tcPr>
          <w:p w:rsidR="00E5781C" w:rsidRPr="00EA7520" w:rsidRDefault="00E5781C" w:rsidP="00151660">
            <w:pPr>
              <w:bidi w:val="0"/>
              <w:jc w:val="center"/>
              <w:rPr>
                <w:rFonts w:ascii="Arial" w:hAnsi="Arial" w:cs="Arial"/>
                <w:b/>
                <w:bCs/>
                <w:sz w:val="18"/>
                <w:szCs w:val="18"/>
              </w:rPr>
            </w:pPr>
            <w:r w:rsidRPr="00EA7520">
              <w:rPr>
                <w:rFonts w:ascii="Arial" w:hAnsi="Arial" w:cs="Arial"/>
                <w:b/>
                <w:bCs/>
                <w:sz w:val="18"/>
                <w:szCs w:val="18"/>
              </w:rPr>
              <w:t>Number of cases</w:t>
            </w:r>
          </w:p>
        </w:tc>
      </w:tr>
      <w:tr w:rsidR="00E5781C" w:rsidRPr="00EA7520" w:rsidTr="000B5EC0">
        <w:trPr>
          <w:trHeight w:val="340"/>
          <w:jc w:val="center"/>
        </w:trPr>
        <w:tc>
          <w:tcPr>
            <w:tcW w:w="3971" w:type="dxa"/>
            <w:tcBorders>
              <w:bottom w:val="nil"/>
            </w:tcBorders>
            <w:vAlign w:val="center"/>
          </w:tcPr>
          <w:p w:rsidR="00E5781C" w:rsidRPr="00EA7520" w:rsidRDefault="00E5781C" w:rsidP="000B5EC0">
            <w:pPr>
              <w:bidi w:val="0"/>
              <w:rPr>
                <w:rFonts w:ascii="Arial" w:hAnsi="Arial" w:cs="Arial"/>
                <w:sz w:val="18"/>
                <w:szCs w:val="18"/>
              </w:rPr>
            </w:pPr>
            <w:r w:rsidRPr="00EA7520">
              <w:rPr>
                <w:rFonts w:ascii="Arial" w:hAnsi="Arial" w:cs="Arial"/>
                <w:sz w:val="18"/>
                <w:szCs w:val="18"/>
              </w:rPr>
              <w:t xml:space="preserve">Completed </w:t>
            </w:r>
          </w:p>
        </w:tc>
        <w:tc>
          <w:tcPr>
            <w:tcW w:w="3400" w:type="dxa"/>
            <w:tcBorders>
              <w:bottom w:val="nil"/>
            </w:tcBorders>
            <w:vAlign w:val="center"/>
          </w:tcPr>
          <w:p w:rsidR="00E5781C" w:rsidRPr="00EA7520" w:rsidRDefault="00E5781C" w:rsidP="00151660">
            <w:pPr>
              <w:bidi w:val="0"/>
              <w:ind w:right="884"/>
              <w:jc w:val="right"/>
              <w:rPr>
                <w:rFonts w:ascii="Arial" w:hAnsi="Arial" w:cs="Arial"/>
                <w:b/>
                <w:bCs/>
                <w:sz w:val="18"/>
                <w:szCs w:val="18"/>
              </w:rPr>
            </w:pPr>
            <w:r w:rsidRPr="00EA7520">
              <w:rPr>
                <w:rFonts w:ascii="Arial" w:hAnsi="Arial" w:cs="Arial"/>
                <w:sz w:val="18"/>
                <w:szCs w:val="18"/>
              </w:rPr>
              <w:t>11581</w:t>
            </w:r>
          </w:p>
        </w:tc>
      </w:tr>
      <w:tr w:rsidR="00E5781C" w:rsidRPr="00EA7520" w:rsidTr="000B5EC0">
        <w:trPr>
          <w:trHeight w:val="340"/>
          <w:jc w:val="center"/>
        </w:trPr>
        <w:tc>
          <w:tcPr>
            <w:tcW w:w="3971" w:type="dxa"/>
            <w:tcBorders>
              <w:top w:val="nil"/>
              <w:bottom w:val="nil"/>
            </w:tcBorders>
            <w:vAlign w:val="center"/>
          </w:tcPr>
          <w:p w:rsidR="00E5781C" w:rsidRPr="00EA7520" w:rsidRDefault="00E5781C" w:rsidP="000B5EC0">
            <w:pPr>
              <w:bidi w:val="0"/>
              <w:rPr>
                <w:rFonts w:ascii="Arial" w:hAnsi="Arial" w:cs="Arial"/>
                <w:sz w:val="18"/>
                <w:szCs w:val="18"/>
              </w:rPr>
            </w:pPr>
            <w:r w:rsidRPr="00EA7520">
              <w:rPr>
                <w:rFonts w:ascii="Arial" w:hAnsi="Arial" w:cs="Arial"/>
                <w:sz w:val="18"/>
                <w:szCs w:val="18"/>
              </w:rPr>
              <w:t>Partially completed</w:t>
            </w:r>
          </w:p>
        </w:tc>
        <w:tc>
          <w:tcPr>
            <w:tcW w:w="3400" w:type="dxa"/>
            <w:tcBorders>
              <w:top w:val="nil"/>
              <w:bottom w:val="nil"/>
            </w:tcBorders>
            <w:vAlign w:val="center"/>
          </w:tcPr>
          <w:p w:rsidR="00E5781C" w:rsidRPr="00EA7520" w:rsidRDefault="00E5781C" w:rsidP="00151660">
            <w:pPr>
              <w:bidi w:val="0"/>
              <w:ind w:right="884"/>
              <w:jc w:val="right"/>
              <w:rPr>
                <w:rFonts w:ascii="Arial" w:hAnsi="Arial" w:cs="Arial"/>
                <w:b/>
                <w:bCs/>
                <w:sz w:val="18"/>
                <w:szCs w:val="18"/>
              </w:rPr>
            </w:pPr>
            <w:r w:rsidRPr="00EA7520">
              <w:rPr>
                <w:rFonts w:ascii="Arial" w:hAnsi="Arial" w:cs="Arial"/>
                <w:sz w:val="18"/>
                <w:szCs w:val="18"/>
              </w:rPr>
              <w:t>21</w:t>
            </w:r>
          </w:p>
        </w:tc>
      </w:tr>
      <w:tr w:rsidR="00E5781C" w:rsidRPr="00EA7520" w:rsidTr="000B5EC0">
        <w:trPr>
          <w:trHeight w:val="340"/>
          <w:jc w:val="center"/>
        </w:trPr>
        <w:tc>
          <w:tcPr>
            <w:tcW w:w="3971" w:type="dxa"/>
            <w:tcBorders>
              <w:top w:val="nil"/>
              <w:bottom w:val="nil"/>
            </w:tcBorders>
            <w:vAlign w:val="center"/>
          </w:tcPr>
          <w:p w:rsidR="00E5781C" w:rsidRPr="00EA7520" w:rsidRDefault="00E5781C" w:rsidP="000B5EC0">
            <w:pPr>
              <w:bidi w:val="0"/>
              <w:rPr>
                <w:rFonts w:ascii="Arial" w:hAnsi="Arial" w:cs="Arial"/>
                <w:sz w:val="18"/>
                <w:szCs w:val="18"/>
              </w:rPr>
            </w:pPr>
            <w:r w:rsidRPr="00EA7520">
              <w:rPr>
                <w:rFonts w:ascii="Arial" w:hAnsi="Arial" w:cs="Arial"/>
                <w:sz w:val="18"/>
                <w:szCs w:val="18"/>
              </w:rPr>
              <w:t>Household was abroad</w:t>
            </w:r>
          </w:p>
        </w:tc>
        <w:tc>
          <w:tcPr>
            <w:tcW w:w="3400" w:type="dxa"/>
            <w:tcBorders>
              <w:top w:val="nil"/>
              <w:bottom w:val="nil"/>
            </w:tcBorders>
            <w:vAlign w:val="center"/>
          </w:tcPr>
          <w:p w:rsidR="00E5781C" w:rsidRPr="00EA7520" w:rsidRDefault="00E5781C" w:rsidP="00151660">
            <w:pPr>
              <w:bidi w:val="0"/>
              <w:ind w:right="884"/>
              <w:jc w:val="right"/>
              <w:rPr>
                <w:rFonts w:ascii="Arial" w:hAnsi="Arial" w:cs="Arial"/>
                <w:b/>
                <w:bCs/>
                <w:sz w:val="18"/>
                <w:szCs w:val="18"/>
              </w:rPr>
            </w:pPr>
            <w:r w:rsidRPr="00EA7520">
              <w:rPr>
                <w:rFonts w:ascii="Arial" w:hAnsi="Arial" w:cs="Arial"/>
                <w:sz w:val="18"/>
                <w:szCs w:val="18"/>
              </w:rPr>
              <w:t>120</w:t>
            </w:r>
          </w:p>
        </w:tc>
      </w:tr>
      <w:tr w:rsidR="00E5781C" w:rsidRPr="00EA7520" w:rsidTr="000B5EC0">
        <w:trPr>
          <w:trHeight w:val="340"/>
          <w:jc w:val="center"/>
        </w:trPr>
        <w:tc>
          <w:tcPr>
            <w:tcW w:w="3971" w:type="dxa"/>
            <w:tcBorders>
              <w:top w:val="nil"/>
              <w:bottom w:val="nil"/>
            </w:tcBorders>
            <w:vAlign w:val="center"/>
          </w:tcPr>
          <w:p w:rsidR="00E5781C" w:rsidRPr="00EA7520" w:rsidRDefault="00E5781C" w:rsidP="000B5EC0">
            <w:pPr>
              <w:bidi w:val="0"/>
              <w:rPr>
                <w:rFonts w:ascii="Arial" w:hAnsi="Arial" w:cs="Arial"/>
                <w:sz w:val="18"/>
                <w:szCs w:val="18"/>
              </w:rPr>
            </w:pPr>
            <w:r w:rsidRPr="00EA7520">
              <w:rPr>
                <w:rFonts w:ascii="Arial" w:hAnsi="Arial" w:cs="Arial"/>
                <w:sz w:val="18"/>
                <w:szCs w:val="18"/>
              </w:rPr>
              <w:t xml:space="preserve">No one at the house </w:t>
            </w:r>
          </w:p>
        </w:tc>
        <w:tc>
          <w:tcPr>
            <w:tcW w:w="3400" w:type="dxa"/>
            <w:tcBorders>
              <w:top w:val="nil"/>
              <w:bottom w:val="nil"/>
            </w:tcBorders>
            <w:vAlign w:val="center"/>
          </w:tcPr>
          <w:p w:rsidR="00E5781C" w:rsidRPr="00EA7520" w:rsidRDefault="00E5781C" w:rsidP="00151660">
            <w:pPr>
              <w:bidi w:val="0"/>
              <w:ind w:right="884"/>
              <w:jc w:val="right"/>
              <w:rPr>
                <w:rFonts w:ascii="Arial" w:hAnsi="Arial" w:cs="Arial"/>
                <w:b/>
                <w:bCs/>
                <w:sz w:val="18"/>
                <w:szCs w:val="18"/>
              </w:rPr>
            </w:pPr>
            <w:r w:rsidRPr="00EA7520">
              <w:rPr>
                <w:rFonts w:ascii="Arial" w:hAnsi="Arial" w:cs="Arial"/>
                <w:sz w:val="18"/>
                <w:szCs w:val="18"/>
              </w:rPr>
              <w:t>1060</w:t>
            </w:r>
          </w:p>
        </w:tc>
      </w:tr>
      <w:tr w:rsidR="00E5781C" w:rsidRPr="00EA7520" w:rsidTr="000B5EC0">
        <w:trPr>
          <w:trHeight w:val="340"/>
          <w:jc w:val="center"/>
        </w:trPr>
        <w:tc>
          <w:tcPr>
            <w:tcW w:w="3971" w:type="dxa"/>
            <w:tcBorders>
              <w:top w:val="nil"/>
              <w:bottom w:val="nil"/>
            </w:tcBorders>
            <w:vAlign w:val="center"/>
          </w:tcPr>
          <w:p w:rsidR="00E5781C" w:rsidRPr="00EA7520" w:rsidRDefault="00E5781C" w:rsidP="000B5EC0">
            <w:pPr>
              <w:bidi w:val="0"/>
              <w:rPr>
                <w:rFonts w:ascii="Arial" w:hAnsi="Arial" w:cs="Arial"/>
                <w:sz w:val="18"/>
                <w:szCs w:val="18"/>
              </w:rPr>
            </w:pPr>
            <w:r w:rsidRPr="00EA7520">
              <w:rPr>
                <w:rFonts w:ascii="Arial" w:hAnsi="Arial" w:cs="Arial"/>
                <w:sz w:val="18"/>
                <w:szCs w:val="18"/>
              </w:rPr>
              <w:t xml:space="preserve">Refused to cooperate </w:t>
            </w:r>
          </w:p>
        </w:tc>
        <w:tc>
          <w:tcPr>
            <w:tcW w:w="3400" w:type="dxa"/>
            <w:tcBorders>
              <w:top w:val="nil"/>
              <w:bottom w:val="nil"/>
            </w:tcBorders>
            <w:vAlign w:val="center"/>
          </w:tcPr>
          <w:p w:rsidR="00E5781C" w:rsidRPr="00EA7520" w:rsidRDefault="00E5781C" w:rsidP="00151660">
            <w:pPr>
              <w:bidi w:val="0"/>
              <w:ind w:right="884"/>
              <w:jc w:val="right"/>
              <w:rPr>
                <w:rFonts w:ascii="Arial" w:hAnsi="Arial" w:cs="Arial"/>
                <w:b/>
                <w:bCs/>
                <w:sz w:val="18"/>
                <w:szCs w:val="18"/>
              </w:rPr>
            </w:pPr>
            <w:r w:rsidRPr="00EA7520">
              <w:rPr>
                <w:rFonts w:ascii="Arial" w:hAnsi="Arial" w:cs="Arial"/>
                <w:sz w:val="18"/>
                <w:szCs w:val="18"/>
              </w:rPr>
              <w:t>556</w:t>
            </w:r>
          </w:p>
        </w:tc>
      </w:tr>
      <w:tr w:rsidR="00E5781C" w:rsidRPr="00EA7520" w:rsidTr="000B5EC0">
        <w:trPr>
          <w:trHeight w:val="340"/>
          <w:jc w:val="center"/>
        </w:trPr>
        <w:tc>
          <w:tcPr>
            <w:tcW w:w="3971" w:type="dxa"/>
            <w:tcBorders>
              <w:top w:val="nil"/>
              <w:bottom w:val="nil"/>
            </w:tcBorders>
            <w:vAlign w:val="center"/>
          </w:tcPr>
          <w:p w:rsidR="00E5781C" w:rsidRPr="00EA7520" w:rsidRDefault="00E5781C" w:rsidP="000B5EC0">
            <w:pPr>
              <w:bidi w:val="0"/>
              <w:rPr>
                <w:rFonts w:ascii="Arial" w:hAnsi="Arial" w:cs="Arial"/>
                <w:sz w:val="18"/>
                <w:szCs w:val="18"/>
              </w:rPr>
            </w:pPr>
            <w:r w:rsidRPr="00EA7520">
              <w:rPr>
                <w:rFonts w:ascii="Arial" w:hAnsi="Arial" w:cs="Arial"/>
                <w:sz w:val="18"/>
                <w:szCs w:val="18"/>
              </w:rPr>
              <w:t xml:space="preserve">No available Information </w:t>
            </w:r>
          </w:p>
        </w:tc>
        <w:tc>
          <w:tcPr>
            <w:tcW w:w="3400" w:type="dxa"/>
            <w:tcBorders>
              <w:top w:val="nil"/>
              <w:bottom w:val="nil"/>
            </w:tcBorders>
            <w:vAlign w:val="center"/>
          </w:tcPr>
          <w:p w:rsidR="00E5781C" w:rsidRPr="00EA7520" w:rsidRDefault="00E5781C" w:rsidP="00151660">
            <w:pPr>
              <w:bidi w:val="0"/>
              <w:ind w:right="884"/>
              <w:jc w:val="right"/>
              <w:rPr>
                <w:rFonts w:ascii="Arial" w:hAnsi="Arial" w:cs="Arial"/>
                <w:sz w:val="18"/>
                <w:szCs w:val="18"/>
              </w:rPr>
            </w:pPr>
            <w:r w:rsidRPr="00EA7520">
              <w:rPr>
                <w:rFonts w:ascii="Arial" w:hAnsi="Arial" w:cs="Arial"/>
                <w:sz w:val="18"/>
                <w:szCs w:val="18"/>
              </w:rPr>
              <w:t>177</w:t>
            </w:r>
          </w:p>
        </w:tc>
      </w:tr>
      <w:tr w:rsidR="00E5781C" w:rsidRPr="00EA7520" w:rsidTr="000B5EC0">
        <w:trPr>
          <w:trHeight w:val="340"/>
          <w:jc w:val="center"/>
        </w:trPr>
        <w:tc>
          <w:tcPr>
            <w:tcW w:w="3971" w:type="dxa"/>
            <w:tcBorders>
              <w:top w:val="nil"/>
              <w:bottom w:val="nil"/>
            </w:tcBorders>
            <w:vAlign w:val="center"/>
          </w:tcPr>
          <w:p w:rsidR="00E5781C" w:rsidRPr="00EA7520" w:rsidRDefault="00E5781C" w:rsidP="000B5EC0">
            <w:pPr>
              <w:pStyle w:val="HTMLPreformatted"/>
              <w:shd w:val="clear" w:color="auto" w:fill="FFFFFF"/>
              <w:bidi w:val="0"/>
              <w:rPr>
                <w:rFonts w:ascii="Arial" w:hAnsi="Arial" w:cs="Arial"/>
                <w:snapToGrid/>
                <w:sz w:val="18"/>
                <w:szCs w:val="18"/>
                <w:lang w:val="en-GB" w:eastAsia="en-GB"/>
              </w:rPr>
            </w:pPr>
            <w:r w:rsidRPr="00EA7520">
              <w:rPr>
                <w:rFonts w:ascii="Arial" w:hAnsi="Arial" w:cs="Arial"/>
                <w:sz w:val="18"/>
                <w:szCs w:val="18"/>
              </w:rPr>
              <w:t>The housing unit is uninhabited</w:t>
            </w:r>
          </w:p>
          <w:p w:rsidR="00E5781C" w:rsidRPr="00EA7520" w:rsidRDefault="00E5781C" w:rsidP="000B5EC0">
            <w:pPr>
              <w:bidi w:val="0"/>
              <w:rPr>
                <w:rFonts w:ascii="Arial" w:hAnsi="Arial" w:cs="Arial"/>
                <w:sz w:val="18"/>
                <w:szCs w:val="18"/>
              </w:rPr>
            </w:pPr>
          </w:p>
        </w:tc>
        <w:tc>
          <w:tcPr>
            <w:tcW w:w="3400" w:type="dxa"/>
            <w:tcBorders>
              <w:top w:val="nil"/>
              <w:bottom w:val="nil"/>
            </w:tcBorders>
            <w:vAlign w:val="center"/>
          </w:tcPr>
          <w:p w:rsidR="00E5781C" w:rsidRPr="00EA7520" w:rsidRDefault="00E5781C" w:rsidP="00151660">
            <w:pPr>
              <w:bidi w:val="0"/>
              <w:ind w:right="884"/>
              <w:jc w:val="right"/>
              <w:rPr>
                <w:rFonts w:ascii="Arial" w:hAnsi="Arial" w:cs="Arial"/>
                <w:b/>
                <w:bCs/>
                <w:sz w:val="18"/>
                <w:szCs w:val="18"/>
              </w:rPr>
            </w:pPr>
            <w:r w:rsidRPr="00EA7520">
              <w:rPr>
                <w:rFonts w:ascii="Arial" w:hAnsi="Arial" w:cs="Arial"/>
                <w:sz w:val="18"/>
                <w:szCs w:val="18"/>
              </w:rPr>
              <w:t>336</w:t>
            </w:r>
          </w:p>
        </w:tc>
      </w:tr>
      <w:tr w:rsidR="00E5781C" w:rsidRPr="00EA7520" w:rsidTr="000B5EC0">
        <w:trPr>
          <w:trHeight w:val="340"/>
          <w:jc w:val="center"/>
        </w:trPr>
        <w:tc>
          <w:tcPr>
            <w:tcW w:w="3971" w:type="dxa"/>
            <w:tcBorders>
              <w:top w:val="nil"/>
              <w:bottom w:val="nil"/>
            </w:tcBorders>
            <w:vAlign w:val="center"/>
          </w:tcPr>
          <w:p w:rsidR="00E5781C" w:rsidRPr="00EA7520" w:rsidRDefault="00E5781C" w:rsidP="000B5EC0">
            <w:pPr>
              <w:bidi w:val="0"/>
              <w:rPr>
                <w:rFonts w:ascii="Arial" w:hAnsi="Arial" w:cs="Arial"/>
                <w:sz w:val="18"/>
                <w:szCs w:val="18"/>
              </w:rPr>
            </w:pPr>
            <w:r w:rsidRPr="00EA7520">
              <w:rPr>
                <w:rFonts w:ascii="Arial" w:hAnsi="Arial" w:cs="Arial"/>
                <w:sz w:val="18"/>
                <w:szCs w:val="18"/>
              </w:rPr>
              <w:t xml:space="preserve">Not existed housing unit </w:t>
            </w:r>
          </w:p>
        </w:tc>
        <w:tc>
          <w:tcPr>
            <w:tcW w:w="3400" w:type="dxa"/>
            <w:tcBorders>
              <w:top w:val="nil"/>
              <w:bottom w:val="nil"/>
            </w:tcBorders>
            <w:vAlign w:val="center"/>
          </w:tcPr>
          <w:p w:rsidR="00E5781C" w:rsidRPr="00EA7520" w:rsidRDefault="00E5781C" w:rsidP="00151660">
            <w:pPr>
              <w:bidi w:val="0"/>
              <w:ind w:right="884"/>
              <w:jc w:val="right"/>
              <w:rPr>
                <w:rFonts w:ascii="Arial" w:hAnsi="Arial" w:cs="Arial"/>
                <w:b/>
                <w:bCs/>
                <w:sz w:val="18"/>
                <w:szCs w:val="18"/>
              </w:rPr>
            </w:pPr>
            <w:r w:rsidRPr="00EA7520">
              <w:rPr>
                <w:rFonts w:ascii="Arial" w:hAnsi="Arial" w:cs="Arial"/>
                <w:sz w:val="18"/>
                <w:szCs w:val="18"/>
              </w:rPr>
              <w:t>15</w:t>
            </w:r>
          </w:p>
        </w:tc>
      </w:tr>
      <w:tr w:rsidR="00E5781C" w:rsidRPr="00EA7520" w:rsidTr="000B5EC0">
        <w:trPr>
          <w:trHeight w:val="340"/>
          <w:jc w:val="center"/>
        </w:trPr>
        <w:tc>
          <w:tcPr>
            <w:tcW w:w="3971" w:type="dxa"/>
            <w:tcBorders>
              <w:top w:val="nil"/>
              <w:bottom w:val="nil"/>
            </w:tcBorders>
            <w:vAlign w:val="center"/>
          </w:tcPr>
          <w:p w:rsidR="00E5781C" w:rsidRPr="00EA7520" w:rsidRDefault="00E5781C" w:rsidP="000B5EC0">
            <w:pPr>
              <w:bidi w:val="0"/>
              <w:rPr>
                <w:rFonts w:ascii="Arial" w:hAnsi="Arial" w:cs="Arial"/>
                <w:sz w:val="18"/>
                <w:szCs w:val="18"/>
              </w:rPr>
            </w:pPr>
            <w:r w:rsidRPr="00EA7520">
              <w:rPr>
                <w:rFonts w:ascii="Arial" w:hAnsi="Arial" w:cs="Arial"/>
                <w:sz w:val="18"/>
                <w:szCs w:val="18"/>
              </w:rPr>
              <w:t xml:space="preserve">Others </w:t>
            </w:r>
          </w:p>
        </w:tc>
        <w:tc>
          <w:tcPr>
            <w:tcW w:w="3400" w:type="dxa"/>
            <w:tcBorders>
              <w:top w:val="nil"/>
              <w:bottom w:val="nil"/>
            </w:tcBorders>
            <w:vAlign w:val="center"/>
          </w:tcPr>
          <w:p w:rsidR="00E5781C" w:rsidRPr="00EA7520" w:rsidRDefault="00E5781C" w:rsidP="00151660">
            <w:pPr>
              <w:bidi w:val="0"/>
              <w:ind w:right="884"/>
              <w:jc w:val="right"/>
              <w:rPr>
                <w:rFonts w:ascii="Arial" w:hAnsi="Arial" w:cs="Arial"/>
                <w:b/>
                <w:bCs/>
                <w:sz w:val="18"/>
                <w:szCs w:val="18"/>
              </w:rPr>
            </w:pPr>
            <w:r w:rsidRPr="00EA7520">
              <w:rPr>
                <w:rFonts w:ascii="Arial" w:hAnsi="Arial" w:cs="Arial"/>
                <w:sz w:val="18"/>
                <w:szCs w:val="18"/>
              </w:rPr>
              <w:t>0</w:t>
            </w:r>
          </w:p>
        </w:tc>
      </w:tr>
      <w:tr w:rsidR="00E5781C" w:rsidRPr="00EA7520" w:rsidTr="000B5EC0">
        <w:trPr>
          <w:trHeight w:val="340"/>
          <w:jc w:val="center"/>
        </w:trPr>
        <w:tc>
          <w:tcPr>
            <w:tcW w:w="3971" w:type="dxa"/>
            <w:tcBorders>
              <w:top w:val="nil"/>
            </w:tcBorders>
            <w:vAlign w:val="center"/>
          </w:tcPr>
          <w:p w:rsidR="00E5781C" w:rsidRPr="00EA7520" w:rsidRDefault="00E5781C" w:rsidP="000B5EC0">
            <w:pPr>
              <w:bidi w:val="0"/>
              <w:rPr>
                <w:rFonts w:ascii="Arial" w:hAnsi="Arial" w:cs="Arial"/>
                <w:b/>
                <w:bCs/>
                <w:sz w:val="18"/>
                <w:szCs w:val="18"/>
              </w:rPr>
            </w:pPr>
            <w:r w:rsidRPr="00EA7520">
              <w:rPr>
                <w:rFonts w:ascii="Arial" w:hAnsi="Arial" w:cs="Arial"/>
                <w:b/>
                <w:bCs/>
                <w:sz w:val="18"/>
                <w:szCs w:val="18"/>
              </w:rPr>
              <w:t xml:space="preserve">Total </w:t>
            </w:r>
          </w:p>
        </w:tc>
        <w:tc>
          <w:tcPr>
            <w:tcW w:w="3400" w:type="dxa"/>
            <w:tcBorders>
              <w:top w:val="nil"/>
            </w:tcBorders>
            <w:vAlign w:val="center"/>
          </w:tcPr>
          <w:p w:rsidR="00E5781C" w:rsidRPr="00EA7520" w:rsidRDefault="00E5781C" w:rsidP="00151660">
            <w:pPr>
              <w:bidi w:val="0"/>
              <w:ind w:right="884"/>
              <w:jc w:val="right"/>
              <w:rPr>
                <w:rFonts w:ascii="Arial" w:hAnsi="Arial" w:cs="Arial"/>
                <w:b/>
                <w:bCs/>
                <w:sz w:val="18"/>
                <w:szCs w:val="18"/>
              </w:rPr>
            </w:pPr>
            <w:r w:rsidRPr="00EA7520">
              <w:rPr>
                <w:rFonts w:ascii="Arial" w:hAnsi="Arial" w:cs="Arial"/>
                <w:b/>
                <w:bCs/>
                <w:sz w:val="18"/>
                <w:szCs w:val="18"/>
              </w:rPr>
              <w:t>13</w:t>
            </w:r>
            <w:r w:rsidR="002645F4" w:rsidRPr="00EA7520">
              <w:rPr>
                <w:rFonts w:ascii="Arial" w:hAnsi="Arial" w:cs="Arial"/>
                <w:b/>
                <w:bCs/>
                <w:sz w:val="18"/>
                <w:szCs w:val="18"/>
              </w:rPr>
              <w:t>,</w:t>
            </w:r>
            <w:r w:rsidRPr="00EA7520">
              <w:rPr>
                <w:rFonts w:ascii="Arial" w:hAnsi="Arial" w:cs="Arial"/>
                <w:b/>
                <w:bCs/>
                <w:sz w:val="18"/>
                <w:szCs w:val="18"/>
              </w:rPr>
              <w:t>866</w:t>
            </w:r>
          </w:p>
        </w:tc>
      </w:tr>
    </w:tbl>
    <w:p w:rsidR="004568FF" w:rsidRPr="00151660" w:rsidRDefault="004568FF" w:rsidP="004568FF">
      <w:pPr>
        <w:pStyle w:val="BlockText"/>
        <w:bidi w:val="0"/>
        <w:ind w:left="0"/>
        <w:jc w:val="left"/>
        <w:rPr>
          <w:rFonts w:asciiTheme="majorBidi" w:hAnsiTheme="majorBidi" w:cstheme="majorBidi"/>
          <w:sz w:val="22"/>
          <w:szCs w:val="22"/>
        </w:rPr>
      </w:pPr>
    </w:p>
    <w:p w:rsidR="00E5781C" w:rsidRPr="00A5000B" w:rsidRDefault="00E5781C" w:rsidP="000B5EC0">
      <w:pPr>
        <w:pStyle w:val="BlockText"/>
        <w:bidi w:val="0"/>
        <w:ind w:left="0"/>
        <w:jc w:val="left"/>
        <w:rPr>
          <w:rFonts w:cs="Times New Roman"/>
          <w:i/>
          <w:iCs/>
        </w:rPr>
      </w:pPr>
      <w:r w:rsidRPr="00A5000B">
        <w:rPr>
          <w:rFonts w:cs="Times New Roman"/>
        </w:rPr>
        <w:t>Response and Non-Response Rates</w:t>
      </w:r>
      <w:r w:rsidR="007570B8" w:rsidRPr="00A5000B">
        <w:rPr>
          <w:rFonts w:cs="Times New Roman"/>
        </w:rPr>
        <w:t xml:space="preserve"> Formulae</w:t>
      </w:r>
      <w:r w:rsidRPr="00A5000B">
        <w:rPr>
          <w:rFonts w:cs="Times New Roman"/>
        </w:rPr>
        <w:t>:</w:t>
      </w:r>
    </w:p>
    <w:tbl>
      <w:tblPr>
        <w:tblW w:w="5000" w:type="pct"/>
        <w:jc w:val="center"/>
        <w:tblLook w:val="04A0"/>
      </w:tblPr>
      <w:tblGrid>
        <w:gridCol w:w="2321"/>
        <w:gridCol w:w="481"/>
        <w:gridCol w:w="3685"/>
        <w:gridCol w:w="1134"/>
        <w:gridCol w:w="425"/>
        <w:gridCol w:w="1243"/>
      </w:tblGrid>
      <w:tr w:rsidR="00270F60" w:rsidRPr="00A5000B" w:rsidTr="00191F6C">
        <w:trPr>
          <w:jc w:val="center"/>
        </w:trPr>
        <w:tc>
          <w:tcPr>
            <w:tcW w:w="2321" w:type="dxa"/>
            <w:vMerge w:val="restart"/>
            <w:shd w:val="clear" w:color="auto" w:fill="auto"/>
            <w:vAlign w:val="center"/>
          </w:tcPr>
          <w:p w:rsidR="00270F60" w:rsidRPr="00151660" w:rsidRDefault="00270F60" w:rsidP="00AC476D">
            <w:pPr>
              <w:numPr>
                <w:ilvl w:val="12"/>
                <w:numId w:val="0"/>
              </w:numPr>
              <w:bidi w:val="0"/>
              <w:rPr>
                <w:rtl/>
              </w:rPr>
            </w:pPr>
            <w:r w:rsidRPr="00151660">
              <w:t>Increased inclusion error rate</w:t>
            </w:r>
          </w:p>
        </w:tc>
        <w:tc>
          <w:tcPr>
            <w:tcW w:w="481" w:type="dxa"/>
            <w:vMerge w:val="restart"/>
            <w:shd w:val="clear" w:color="auto" w:fill="auto"/>
            <w:vAlign w:val="center"/>
          </w:tcPr>
          <w:p w:rsidR="00270F60" w:rsidRPr="00A5000B" w:rsidRDefault="00270F60" w:rsidP="00AC476D">
            <w:pPr>
              <w:numPr>
                <w:ilvl w:val="12"/>
                <w:numId w:val="0"/>
              </w:numPr>
              <w:bidi w:val="0"/>
              <w:rPr>
                <w:b/>
                <w:bCs/>
                <w:rtl/>
              </w:rPr>
            </w:pPr>
            <w:r w:rsidRPr="00A5000B">
              <w:rPr>
                <w:b/>
                <w:bCs/>
                <w:rtl/>
              </w:rPr>
              <w:t>=</w:t>
            </w:r>
          </w:p>
        </w:tc>
        <w:tc>
          <w:tcPr>
            <w:tcW w:w="3685" w:type="dxa"/>
            <w:tcBorders>
              <w:bottom w:val="single" w:sz="4" w:space="0" w:color="auto"/>
            </w:tcBorders>
            <w:shd w:val="clear" w:color="auto" w:fill="auto"/>
            <w:vAlign w:val="center"/>
          </w:tcPr>
          <w:p w:rsidR="00270F60" w:rsidRPr="00A5000B" w:rsidRDefault="00270F60" w:rsidP="00AC476D">
            <w:pPr>
              <w:numPr>
                <w:ilvl w:val="12"/>
                <w:numId w:val="0"/>
              </w:numPr>
              <w:bidi w:val="0"/>
              <w:rPr>
                <w:b/>
                <w:bCs/>
                <w:rtl/>
              </w:rPr>
            </w:pPr>
            <w:r w:rsidRPr="00A5000B">
              <w:t>Total cases of over coverage</w:t>
            </w:r>
          </w:p>
        </w:tc>
        <w:tc>
          <w:tcPr>
            <w:tcW w:w="1134" w:type="dxa"/>
            <w:vMerge w:val="restart"/>
            <w:shd w:val="clear" w:color="auto" w:fill="auto"/>
            <w:vAlign w:val="center"/>
          </w:tcPr>
          <w:p w:rsidR="00270F60" w:rsidRPr="00A5000B" w:rsidRDefault="00270F60" w:rsidP="00AC476D">
            <w:pPr>
              <w:numPr>
                <w:ilvl w:val="12"/>
                <w:numId w:val="0"/>
              </w:numPr>
              <w:bidi w:val="0"/>
              <w:rPr>
                <w:b/>
                <w:bCs/>
              </w:rPr>
            </w:pPr>
            <w:r w:rsidRPr="00A5000B">
              <w:t>X 100%</w:t>
            </w:r>
          </w:p>
        </w:tc>
        <w:tc>
          <w:tcPr>
            <w:tcW w:w="425" w:type="dxa"/>
            <w:vMerge w:val="restart"/>
            <w:shd w:val="clear" w:color="auto" w:fill="auto"/>
            <w:vAlign w:val="center"/>
          </w:tcPr>
          <w:p w:rsidR="00270F60" w:rsidRPr="00A5000B" w:rsidRDefault="00270F60" w:rsidP="00AC476D">
            <w:pPr>
              <w:numPr>
                <w:ilvl w:val="12"/>
                <w:numId w:val="0"/>
              </w:numPr>
              <w:bidi w:val="0"/>
            </w:pPr>
            <w:r w:rsidRPr="00A5000B">
              <w:rPr>
                <w:rtl/>
              </w:rPr>
              <w:t>=</w:t>
            </w:r>
          </w:p>
        </w:tc>
        <w:tc>
          <w:tcPr>
            <w:tcW w:w="1243" w:type="dxa"/>
            <w:vMerge w:val="restart"/>
            <w:shd w:val="clear" w:color="auto" w:fill="auto"/>
            <w:vAlign w:val="center"/>
          </w:tcPr>
          <w:p w:rsidR="00270F60" w:rsidRPr="00A5000B" w:rsidRDefault="00270F60" w:rsidP="00AC476D">
            <w:pPr>
              <w:numPr>
                <w:ilvl w:val="12"/>
                <w:numId w:val="0"/>
              </w:numPr>
              <w:bidi w:val="0"/>
              <w:rPr>
                <w:rtl/>
              </w:rPr>
            </w:pPr>
            <w:r w:rsidRPr="00A5000B">
              <w:t>2.5%</w:t>
            </w:r>
          </w:p>
        </w:tc>
      </w:tr>
      <w:tr w:rsidR="00270F60" w:rsidRPr="00A5000B" w:rsidTr="00191F6C">
        <w:trPr>
          <w:jc w:val="center"/>
        </w:trPr>
        <w:tc>
          <w:tcPr>
            <w:tcW w:w="2321" w:type="dxa"/>
            <w:vMerge/>
            <w:shd w:val="clear" w:color="auto" w:fill="auto"/>
            <w:vAlign w:val="center"/>
          </w:tcPr>
          <w:p w:rsidR="00270F60" w:rsidRPr="00151660" w:rsidRDefault="00270F60" w:rsidP="00AC476D">
            <w:pPr>
              <w:numPr>
                <w:ilvl w:val="12"/>
                <w:numId w:val="0"/>
              </w:numPr>
              <w:bidi w:val="0"/>
              <w:rPr>
                <w:b/>
                <w:bCs/>
                <w:rtl/>
              </w:rPr>
            </w:pPr>
          </w:p>
        </w:tc>
        <w:tc>
          <w:tcPr>
            <w:tcW w:w="481" w:type="dxa"/>
            <w:vMerge/>
            <w:shd w:val="clear" w:color="auto" w:fill="auto"/>
            <w:vAlign w:val="center"/>
          </w:tcPr>
          <w:p w:rsidR="00270F60" w:rsidRPr="00A5000B" w:rsidRDefault="00270F60" w:rsidP="00AC476D">
            <w:pPr>
              <w:numPr>
                <w:ilvl w:val="12"/>
                <w:numId w:val="0"/>
              </w:numPr>
              <w:bidi w:val="0"/>
              <w:rPr>
                <w:b/>
                <w:bCs/>
                <w:rtl/>
              </w:rPr>
            </w:pPr>
          </w:p>
        </w:tc>
        <w:tc>
          <w:tcPr>
            <w:tcW w:w="3685" w:type="dxa"/>
            <w:tcBorders>
              <w:top w:val="single" w:sz="4" w:space="0" w:color="auto"/>
            </w:tcBorders>
            <w:shd w:val="clear" w:color="auto" w:fill="auto"/>
            <w:vAlign w:val="center"/>
          </w:tcPr>
          <w:p w:rsidR="00270F60" w:rsidRPr="00A5000B" w:rsidRDefault="00270F60" w:rsidP="00AC476D">
            <w:pPr>
              <w:numPr>
                <w:ilvl w:val="12"/>
                <w:numId w:val="0"/>
              </w:numPr>
              <w:bidi w:val="0"/>
              <w:rPr>
                <w:b/>
                <w:bCs/>
                <w:rtl/>
              </w:rPr>
            </w:pPr>
            <w:r w:rsidRPr="00A5000B">
              <w:t>Number of cases in original sample</w:t>
            </w:r>
          </w:p>
        </w:tc>
        <w:tc>
          <w:tcPr>
            <w:tcW w:w="1134" w:type="dxa"/>
            <w:vMerge/>
            <w:shd w:val="clear" w:color="auto" w:fill="auto"/>
            <w:vAlign w:val="center"/>
          </w:tcPr>
          <w:p w:rsidR="00270F60" w:rsidRPr="00A5000B" w:rsidRDefault="00270F60" w:rsidP="00AC476D">
            <w:pPr>
              <w:numPr>
                <w:ilvl w:val="12"/>
                <w:numId w:val="0"/>
              </w:numPr>
              <w:bidi w:val="0"/>
              <w:rPr>
                <w:b/>
                <w:bCs/>
                <w:rtl/>
              </w:rPr>
            </w:pPr>
          </w:p>
        </w:tc>
        <w:tc>
          <w:tcPr>
            <w:tcW w:w="425" w:type="dxa"/>
            <w:vMerge/>
            <w:shd w:val="clear" w:color="auto" w:fill="auto"/>
            <w:vAlign w:val="center"/>
          </w:tcPr>
          <w:p w:rsidR="00270F60" w:rsidRPr="00A5000B" w:rsidRDefault="00270F60" w:rsidP="00AC476D">
            <w:pPr>
              <w:numPr>
                <w:ilvl w:val="12"/>
                <w:numId w:val="0"/>
              </w:numPr>
              <w:bidi w:val="0"/>
              <w:rPr>
                <w:b/>
                <w:bCs/>
                <w:rtl/>
              </w:rPr>
            </w:pPr>
          </w:p>
        </w:tc>
        <w:tc>
          <w:tcPr>
            <w:tcW w:w="1243" w:type="dxa"/>
            <w:vMerge/>
            <w:shd w:val="clear" w:color="auto" w:fill="auto"/>
            <w:vAlign w:val="center"/>
          </w:tcPr>
          <w:p w:rsidR="00270F60" w:rsidRPr="00A5000B" w:rsidRDefault="00270F60" w:rsidP="00AC476D">
            <w:pPr>
              <w:numPr>
                <w:ilvl w:val="12"/>
                <w:numId w:val="0"/>
              </w:numPr>
              <w:bidi w:val="0"/>
              <w:rPr>
                <w:b/>
                <w:bCs/>
                <w:rtl/>
              </w:rPr>
            </w:pPr>
          </w:p>
        </w:tc>
      </w:tr>
      <w:tr w:rsidR="00270F60" w:rsidRPr="00A5000B" w:rsidTr="00270F60">
        <w:trPr>
          <w:jc w:val="center"/>
        </w:trPr>
        <w:tc>
          <w:tcPr>
            <w:tcW w:w="9289" w:type="dxa"/>
            <w:gridSpan w:val="6"/>
            <w:shd w:val="clear" w:color="auto" w:fill="auto"/>
            <w:vAlign w:val="center"/>
          </w:tcPr>
          <w:p w:rsidR="00270F60" w:rsidRPr="00151660" w:rsidRDefault="00270F60" w:rsidP="00AC476D">
            <w:pPr>
              <w:numPr>
                <w:ilvl w:val="12"/>
                <w:numId w:val="0"/>
              </w:numPr>
              <w:bidi w:val="0"/>
              <w:rPr>
                <w:rtl/>
              </w:rPr>
            </w:pPr>
          </w:p>
        </w:tc>
      </w:tr>
      <w:tr w:rsidR="00270F60" w:rsidRPr="00A5000B" w:rsidTr="00191F6C">
        <w:trPr>
          <w:jc w:val="center"/>
        </w:trPr>
        <w:tc>
          <w:tcPr>
            <w:tcW w:w="2321" w:type="dxa"/>
            <w:vMerge w:val="restart"/>
            <w:shd w:val="clear" w:color="auto" w:fill="auto"/>
            <w:vAlign w:val="center"/>
          </w:tcPr>
          <w:p w:rsidR="00270F60" w:rsidRPr="00151660" w:rsidRDefault="00270F60" w:rsidP="00AC476D">
            <w:pPr>
              <w:numPr>
                <w:ilvl w:val="12"/>
                <w:numId w:val="0"/>
              </w:numPr>
              <w:bidi w:val="0"/>
              <w:rPr>
                <w:rtl/>
              </w:rPr>
            </w:pPr>
            <w:r w:rsidRPr="00151660">
              <w:t>Non-Response Rate</w:t>
            </w:r>
          </w:p>
        </w:tc>
        <w:tc>
          <w:tcPr>
            <w:tcW w:w="481" w:type="dxa"/>
            <w:vMerge w:val="restart"/>
            <w:shd w:val="clear" w:color="auto" w:fill="auto"/>
            <w:vAlign w:val="center"/>
          </w:tcPr>
          <w:p w:rsidR="00270F60" w:rsidRPr="00A5000B" w:rsidRDefault="00270F60" w:rsidP="00AC476D">
            <w:pPr>
              <w:numPr>
                <w:ilvl w:val="12"/>
                <w:numId w:val="0"/>
              </w:numPr>
              <w:bidi w:val="0"/>
              <w:rPr>
                <w:b/>
                <w:bCs/>
                <w:rtl/>
              </w:rPr>
            </w:pPr>
            <w:r w:rsidRPr="00A5000B">
              <w:rPr>
                <w:b/>
                <w:bCs/>
                <w:rtl/>
              </w:rPr>
              <w:t>=</w:t>
            </w:r>
          </w:p>
        </w:tc>
        <w:tc>
          <w:tcPr>
            <w:tcW w:w="3685" w:type="dxa"/>
            <w:tcBorders>
              <w:bottom w:val="single" w:sz="4" w:space="0" w:color="auto"/>
            </w:tcBorders>
            <w:shd w:val="clear" w:color="auto" w:fill="auto"/>
            <w:vAlign w:val="center"/>
          </w:tcPr>
          <w:p w:rsidR="00270F60" w:rsidRPr="00A5000B" w:rsidRDefault="00270F60" w:rsidP="00AC476D">
            <w:pPr>
              <w:numPr>
                <w:ilvl w:val="12"/>
                <w:numId w:val="0"/>
              </w:numPr>
              <w:bidi w:val="0"/>
              <w:rPr>
                <w:rtl/>
              </w:rPr>
            </w:pPr>
            <w:r w:rsidRPr="00A5000B">
              <w:t>Total cases of Non-responses</w:t>
            </w:r>
          </w:p>
        </w:tc>
        <w:tc>
          <w:tcPr>
            <w:tcW w:w="1134" w:type="dxa"/>
            <w:vMerge w:val="restart"/>
            <w:shd w:val="clear" w:color="auto" w:fill="auto"/>
            <w:vAlign w:val="center"/>
          </w:tcPr>
          <w:p w:rsidR="00270F60" w:rsidRPr="00A5000B" w:rsidRDefault="00270F60" w:rsidP="00AC476D">
            <w:pPr>
              <w:numPr>
                <w:ilvl w:val="12"/>
                <w:numId w:val="0"/>
              </w:numPr>
              <w:bidi w:val="0"/>
              <w:rPr>
                <w:b/>
                <w:bCs/>
                <w:rtl/>
              </w:rPr>
            </w:pPr>
            <w:r w:rsidRPr="00A5000B">
              <w:t>X 100%</w:t>
            </w:r>
          </w:p>
        </w:tc>
        <w:tc>
          <w:tcPr>
            <w:tcW w:w="425" w:type="dxa"/>
            <w:vMerge w:val="restart"/>
            <w:shd w:val="clear" w:color="auto" w:fill="auto"/>
            <w:vAlign w:val="center"/>
          </w:tcPr>
          <w:p w:rsidR="00270F60" w:rsidRPr="00A5000B" w:rsidRDefault="00270F60" w:rsidP="00AC476D">
            <w:pPr>
              <w:numPr>
                <w:ilvl w:val="12"/>
                <w:numId w:val="0"/>
              </w:numPr>
              <w:bidi w:val="0"/>
              <w:rPr>
                <w:rtl/>
              </w:rPr>
            </w:pPr>
            <w:r w:rsidRPr="00A5000B">
              <w:rPr>
                <w:rtl/>
              </w:rPr>
              <w:t>=</w:t>
            </w:r>
          </w:p>
        </w:tc>
        <w:tc>
          <w:tcPr>
            <w:tcW w:w="1243" w:type="dxa"/>
            <w:vMerge w:val="restart"/>
            <w:shd w:val="clear" w:color="auto" w:fill="auto"/>
            <w:vAlign w:val="center"/>
          </w:tcPr>
          <w:p w:rsidR="00270F60" w:rsidRPr="00A5000B" w:rsidRDefault="00270F60" w:rsidP="00AC476D">
            <w:pPr>
              <w:numPr>
                <w:ilvl w:val="12"/>
                <w:numId w:val="0"/>
              </w:numPr>
              <w:bidi w:val="0"/>
              <w:rPr>
                <w:rtl/>
              </w:rPr>
            </w:pPr>
            <w:r w:rsidRPr="00A5000B">
              <w:t>14.2%</w:t>
            </w:r>
          </w:p>
        </w:tc>
      </w:tr>
      <w:tr w:rsidR="00270F60" w:rsidRPr="00A5000B" w:rsidTr="00191F6C">
        <w:trPr>
          <w:jc w:val="center"/>
        </w:trPr>
        <w:tc>
          <w:tcPr>
            <w:tcW w:w="2321" w:type="dxa"/>
            <w:vMerge/>
            <w:shd w:val="clear" w:color="auto" w:fill="auto"/>
            <w:vAlign w:val="center"/>
          </w:tcPr>
          <w:p w:rsidR="00270F60" w:rsidRPr="00151660" w:rsidRDefault="00270F60" w:rsidP="00AC476D">
            <w:pPr>
              <w:numPr>
                <w:ilvl w:val="12"/>
                <w:numId w:val="0"/>
              </w:numPr>
              <w:bidi w:val="0"/>
              <w:rPr>
                <w:b/>
                <w:bCs/>
                <w:rtl/>
              </w:rPr>
            </w:pPr>
          </w:p>
        </w:tc>
        <w:tc>
          <w:tcPr>
            <w:tcW w:w="481" w:type="dxa"/>
            <w:vMerge/>
            <w:shd w:val="clear" w:color="auto" w:fill="auto"/>
            <w:vAlign w:val="center"/>
          </w:tcPr>
          <w:p w:rsidR="00270F60" w:rsidRPr="00A5000B" w:rsidRDefault="00270F60" w:rsidP="00AC476D">
            <w:pPr>
              <w:numPr>
                <w:ilvl w:val="12"/>
                <w:numId w:val="0"/>
              </w:numPr>
              <w:bidi w:val="0"/>
              <w:rPr>
                <w:b/>
                <w:bCs/>
                <w:rtl/>
              </w:rPr>
            </w:pPr>
          </w:p>
        </w:tc>
        <w:tc>
          <w:tcPr>
            <w:tcW w:w="3685" w:type="dxa"/>
            <w:tcBorders>
              <w:top w:val="single" w:sz="4" w:space="0" w:color="auto"/>
            </w:tcBorders>
            <w:shd w:val="clear" w:color="auto" w:fill="auto"/>
            <w:vAlign w:val="center"/>
          </w:tcPr>
          <w:p w:rsidR="00270F60" w:rsidRPr="00A5000B" w:rsidRDefault="00270F60" w:rsidP="00AC476D">
            <w:pPr>
              <w:numPr>
                <w:ilvl w:val="12"/>
                <w:numId w:val="0"/>
              </w:numPr>
              <w:bidi w:val="0"/>
              <w:rPr>
                <w:rtl/>
              </w:rPr>
            </w:pPr>
            <w:r w:rsidRPr="00A5000B">
              <w:t>Net sample</w:t>
            </w:r>
          </w:p>
        </w:tc>
        <w:tc>
          <w:tcPr>
            <w:tcW w:w="1134" w:type="dxa"/>
            <w:vMerge/>
            <w:shd w:val="clear" w:color="auto" w:fill="auto"/>
            <w:vAlign w:val="center"/>
          </w:tcPr>
          <w:p w:rsidR="00270F60" w:rsidRPr="00A5000B" w:rsidRDefault="00270F60" w:rsidP="00AC476D">
            <w:pPr>
              <w:numPr>
                <w:ilvl w:val="12"/>
                <w:numId w:val="0"/>
              </w:numPr>
              <w:bidi w:val="0"/>
              <w:rPr>
                <w:b/>
                <w:bCs/>
                <w:rtl/>
              </w:rPr>
            </w:pPr>
          </w:p>
        </w:tc>
        <w:tc>
          <w:tcPr>
            <w:tcW w:w="425" w:type="dxa"/>
            <w:vMerge/>
            <w:shd w:val="clear" w:color="auto" w:fill="auto"/>
            <w:vAlign w:val="center"/>
          </w:tcPr>
          <w:p w:rsidR="00270F60" w:rsidRPr="00A5000B" w:rsidRDefault="00270F60" w:rsidP="00AC476D">
            <w:pPr>
              <w:numPr>
                <w:ilvl w:val="12"/>
                <w:numId w:val="0"/>
              </w:numPr>
              <w:bidi w:val="0"/>
              <w:rPr>
                <w:b/>
                <w:bCs/>
                <w:rtl/>
              </w:rPr>
            </w:pPr>
          </w:p>
        </w:tc>
        <w:tc>
          <w:tcPr>
            <w:tcW w:w="1243" w:type="dxa"/>
            <w:vMerge/>
            <w:shd w:val="clear" w:color="auto" w:fill="auto"/>
            <w:vAlign w:val="center"/>
          </w:tcPr>
          <w:p w:rsidR="00270F60" w:rsidRPr="00A5000B" w:rsidRDefault="00270F60" w:rsidP="00AC476D">
            <w:pPr>
              <w:numPr>
                <w:ilvl w:val="12"/>
                <w:numId w:val="0"/>
              </w:numPr>
              <w:bidi w:val="0"/>
              <w:rPr>
                <w:b/>
                <w:bCs/>
                <w:rtl/>
              </w:rPr>
            </w:pPr>
          </w:p>
        </w:tc>
      </w:tr>
      <w:tr w:rsidR="00270F60" w:rsidRPr="00A5000B" w:rsidTr="00270F60">
        <w:trPr>
          <w:jc w:val="center"/>
        </w:trPr>
        <w:tc>
          <w:tcPr>
            <w:tcW w:w="9289" w:type="dxa"/>
            <w:gridSpan w:val="6"/>
            <w:shd w:val="clear" w:color="auto" w:fill="auto"/>
            <w:vAlign w:val="center"/>
          </w:tcPr>
          <w:p w:rsidR="00270F60" w:rsidRPr="00151660" w:rsidRDefault="00270F60" w:rsidP="00AC476D">
            <w:pPr>
              <w:numPr>
                <w:ilvl w:val="12"/>
                <w:numId w:val="0"/>
              </w:numPr>
              <w:bidi w:val="0"/>
              <w:rPr>
                <w:rtl/>
              </w:rPr>
            </w:pPr>
          </w:p>
        </w:tc>
      </w:tr>
      <w:tr w:rsidR="00270F60" w:rsidRPr="00A5000B" w:rsidTr="00191F6C">
        <w:trPr>
          <w:jc w:val="center"/>
        </w:trPr>
        <w:tc>
          <w:tcPr>
            <w:tcW w:w="2321" w:type="dxa"/>
            <w:shd w:val="clear" w:color="auto" w:fill="auto"/>
            <w:vAlign w:val="center"/>
          </w:tcPr>
          <w:p w:rsidR="00270F60" w:rsidRPr="00151660" w:rsidRDefault="00270F60" w:rsidP="00AC476D">
            <w:pPr>
              <w:numPr>
                <w:ilvl w:val="12"/>
                <w:numId w:val="0"/>
              </w:numPr>
              <w:bidi w:val="0"/>
              <w:rPr>
                <w:rtl/>
              </w:rPr>
            </w:pPr>
            <w:r w:rsidRPr="00151660">
              <w:t>Net sample</w:t>
            </w:r>
          </w:p>
        </w:tc>
        <w:tc>
          <w:tcPr>
            <w:tcW w:w="481" w:type="dxa"/>
            <w:shd w:val="clear" w:color="auto" w:fill="auto"/>
            <w:vAlign w:val="center"/>
          </w:tcPr>
          <w:p w:rsidR="00270F60" w:rsidRPr="00A5000B" w:rsidRDefault="00270F60" w:rsidP="00AC476D">
            <w:pPr>
              <w:numPr>
                <w:ilvl w:val="12"/>
                <w:numId w:val="0"/>
              </w:numPr>
              <w:bidi w:val="0"/>
              <w:rPr>
                <w:b/>
                <w:bCs/>
                <w:rtl/>
              </w:rPr>
            </w:pPr>
            <w:r w:rsidRPr="00A5000B">
              <w:rPr>
                <w:b/>
                <w:bCs/>
                <w:rtl/>
              </w:rPr>
              <w:t>=</w:t>
            </w:r>
          </w:p>
        </w:tc>
        <w:tc>
          <w:tcPr>
            <w:tcW w:w="4819" w:type="dxa"/>
            <w:gridSpan w:val="2"/>
            <w:shd w:val="clear" w:color="auto" w:fill="auto"/>
            <w:vAlign w:val="center"/>
          </w:tcPr>
          <w:p w:rsidR="00270F60" w:rsidRPr="00A5000B" w:rsidRDefault="00270F60" w:rsidP="00AC476D">
            <w:pPr>
              <w:numPr>
                <w:ilvl w:val="12"/>
                <w:numId w:val="0"/>
              </w:numPr>
              <w:bidi w:val="0"/>
              <w:rPr>
                <w:b/>
                <w:bCs/>
                <w:rtl/>
              </w:rPr>
            </w:pPr>
            <w:r w:rsidRPr="00A5000B">
              <w:t>original sample – (over coverage cases)</w:t>
            </w:r>
          </w:p>
        </w:tc>
        <w:tc>
          <w:tcPr>
            <w:tcW w:w="425" w:type="dxa"/>
            <w:shd w:val="clear" w:color="auto" w:fill="auto"/>
            <w:vAlign w:val="center"/>
          </w:tcPr>
          <w:p w:rsidR="00270F60" w:rsidRPr="00A5000B" w:rsidRDefault="00270F60" w:rsidP="00AC476D">
            <w:pPr>
              <w:numPr>
                <w:ilvl w:val="12"/>
                <w:numId w:val="0"/>
              </w:numPr>
              <w:bidi w:val="0"/>
              <w:rPr>
                <w:b/>
                <w:bCs/>
                <w:rtl/>
              </w:rPr>
            </w:pPr>
            <w:r w:rsidRPr="00A5000B">
              <w:rPr>
                <w:rtl/>
              </w:rPr>
              <w:t>=</w:t>
            </w:r>
          </w:p>
        </w:tc>
        <w:tc>
          <w:tcPr>
            <w:tcW w:w="1243" w:type="dxa"/>
            <w:shd w:val="clear" w:color="auto" w:fill="auto"/>
            <w:vAlign w:val="center"/>
          </w:tcPr>
          <w:p w:rsidR="00270F60" w:rsidRPr="00A5000B" w:rsidRDefault="00270F60" w:rsidP="00AC476D">
            <w:pPr>
              <w:numPr>
                <w:ilvl w:val="12"/>
                <w:numId w:val="0"/>
              </w:numPr>
              <w:bidi w:val="0"/>
              <w:rPr>
                <w:b/>
                <w:bCs/>
                <w:rtl/>
              </w:rPr>
            </w:pPr>
            <w:r w:rsidRPr="00A5000B">
              <w:t>13,515</w:t>
            </w:r>
          </w:p>
        </w:tc>
      </w:tr>
      <w:tr w:rsidR="00270F60" w:rsidRPr="00A5000B" w:rsidTr="00270F60">
        <w:trPr>
          <w:trHeight w:val="20"/>
          <w:jc w:val="center"/>
        </w:trPr>
        <w:tc>
          <w:tcPr>
            <w:tcW w:w="9289" w:type="dxa"/>
            <w:gridSpan w:val="6"/>
            <w:shd w:val="clear" w:color="auto" w:fill="auto"/>
            <w:vAlign w:val="center"/>
          </w:tcPr>
          <w:p w:rsidR="00270F60" w:rsidRPr="00151660" w:rsidRDefault="00270F60" w:rsidP="00AC476D">
            <w:pPr>
              <w:numPr>
                <w:ilvl w:val="12"/>
                <w:numId w:val="0"/>
              </w:numPr>
              <w:bidi w:val="0"/>
              <w:rPr>
                <w:rtl/>
              </w:rPr>
            </w:pPr>
          </w:p>
        </w:tc>
      </w:tr>
      <w:tr w:rsidR="00270F60" w:rsidRPr="00A5000B" w:rsidTr="00191F6C">
        <w:trPr>
          <w:jc w:val="center"/>
        </w:trPr>
        <w:tc>
          <w:tcPr>
            <w:tcW w:w="2321" w:type="dxa"/>
            <w:shd w:val="clear" w:color="auto" w:fill="auto"/>
            <w:vAlign w:val="center"/>
          </w:tcPr>
          <w:p w:rsidR="00270F60" w:rsidRPr="00151660" w:rsidRDefault="00270F60" w:rsidP="00AC476D">
            <w:pPr>
              <w:numPr>
                <w:ilvl w:val="12"/>
                <w:numId w:val="0"/>
              </w:numPr>
              <w:bidi w:val="0"/>
              <w:rPr>
                <w:rtl/>
              </w:rPr>
            </w:pPr>
            <w:r w:rsidRPr="00151660">
              <w:t>Response Rate</w:t>
            </w:r>
          </w:p>
        </w:tc>
        <w:tc>
          <w:tcPr>
            <w:tcW w:w="481" w:type="dxa"/>
            <w:shd w:val="clear" w:color="auto" w:fill="auto"/>
            <w:vAlign w:val="center"/>
          </w:tcPr>
          <w:p w:rsidR="00270F60" w:rsidRPr="00A5000B" w:rsidRDefault="00270F60" w:rsidP="00AC476D">
            <w:pPr>
              <w:numPr>
                <w:ilvl w:val="12"/>
                <w:numId w:val="0"/>
              </w:numPr>
              <w:bidi w:val="0"/>
              <w:rPr>
                <w:b/>
                <w:bCs/>
                <w:rtl/>
              </w:rPr>
            </w:pPr>
            <w:r w:rsidRPr="00A5000B">
              <w:rPr>
                <w:b/>
                <w:bCs/>
                <w:rtl/>
              </w:rPr>
              <w:t>=</w:t>
            </w:r>
          </w:p>
        </w:tc>
        <w:tc>
          <w:tcPr>
            <w:tcW w:w="4819" w:type="dxa"/>
            <w:gridSpan w:val="2"/>
            <w:shd w:val="clear" w:color="auto" w:fill="auto"/>
            <w:vAlign w:val="center"/>
          </w:tcPr>
          <w:p w:rsidR="00270F60" w:rsidRPr="00A5000B" w:rsidRDefault="00270F60" w:rsidP="00AC476D">
            <w:pPr>
              <w:numPr>
                <w:ilvl w:val="12"/>
                <w:numId w:val="0"/>
              </w:numPr>
              <w:bidi w:val="0"/>
              <w:rPr>
                <w:b/>
                <w:bCs/>
                <w:rtl/>
              </w:rPr>
            </w:pPr>
            <w:r w:rsidRPr="00A5000B">
              <w:t>100% - Non-Response Rate</w:t>
            </w:r>
          </w:p>
        </w:tc>
        <w:tc>
          <w:tcPr>
            <w:tcW w:w="425" w:type="dxa"/>
            <w:shd w:val="clear" w:color="auto" w:fill="auto"/>
            <w:vAlign w:val="center"/>
          </w:tcPr>
          <w:p w:rsidR="00270F60" w:rsidRPr="00A5000B" w:rsidRDefault="00270F60" w:rsidP="00AC476D">
            <w:pPr>
              <w:numPr>
                <w:ilvl w:val="12"/>
                <w:numId w:val="0"/>
              </w:numPr>
              <w:bidi w:val="0"/>
              <w:rPr>
                <w:b/>
                <w:bCs/>
                <w:rtl/>
              </w:rPr>
            </w:pPr>
            <w:r w:rsidRPr="00A5000B">
              <w:rPr>
                <w:rtl/>
              </w:rPr>
              <w:t>=</w:t>
            </w:r>
          </w:p>
        </w:tc>
        <w:tc>
          <w:tcPr>
            <w:tcW w:w="1243" w:type="dxa"/>
            <w:shd w:val="clear" w:color="auto" w:fill="auto"/>
            <w:vAlign w:val="center"/>
          </w:tcPr>
          <w:p w:rsidR="00270F60" w:rsidRPr="00A5000B" w:rsidRDefault="00270F60" w:rsidP="00AC476D">
            <w:pPr>
              <w:numPr>
                <w:ilvl w:val="12"/>
                <w:numId w:val="0"/>
              </w:numPr>
              <w:bidi w:val="0"/>
              <w:rPr>
                <w:b/>
                <w:bCs/>
                <w:rtl/>
              </w:rPr>
            </w:pPr>
            <w:r w:rsidRPr="00A5000B">
              <w:t>85.8%</w:t>
            </w:r>
          </w:p>
        </w:tc>
      </w:tr>
    </w:tbl>
    <w:p w:rsidR="000A42DF" w:rsidRPr="00C84E64" w:rsidRDefault="000A42DF" w:rsidP="004568FF">
      <w:pPr>
        <w:bidi w:val="0"/>
        <w:ind w:left="-1" w:firstLine="720"/>
        <w:rPr>
          <w:rFonts w:asciiTheme="majorBidi" w:hAnsiTheme="majorBidi" w:cstheme="majorBidi"/>
          <w:sz w:val="18"/>
          <w:szCs w:val="18"/>
        </w:rPr>
      </w:pPr>
    </w:p>
    <w:p w:rsidR="00A5000B" w:rsidRPr="00151660" w:rsidRDefault="00A5000B" w:rsidP="00A5000B">
      <w:pPr>
        <w:bidi w:val="0"/>
        <w:ind w:left="-1"/>
        <w:jc w:val="center"/>
        <w:rPr>
          <w:rFonts w:asciiTheme="majorBidi" w:hAnsiTheme="majorBidi" w:cstheme="majorBidi"/>
        </w:rPr>
      </w:pPr>
    </w:p>
    <w:p w:rsidR="00E5781C" w:rsidRDefault="00765148" w:rsidP="00A5000B">
      <w:pPr>
        <w:bidi w:val="0"/>
        <w:ind w:left="-1"/>
        <w:jc w:val="center"/>
        <w:rPr>
          <w:rFonts w:ascii="Arial" w:hAnsi="Arial" w:cs="Arial"/>
          <w:b/>
          <w:bCs/>
          <w:sz w:val="22"/>
          <w:szCs w:val="22"/>
        </w:rPr>
      </w:pPr>
      <w:r w:rsidRPr="00EA7520">
        <w:rPr>
          <w:rFonts w:ascii="Arial" w:hAnsi="Arial" w:cs="Arial"/>
          <w:b/>
          <w:bCs/>
          <w:sz w:val="22"/>
          <w:szCs w:val="22"/>
        </w:rPr>
        <w:t>Response Rates for</w:t>
      </w:r>
      <w:r w:rsidR="00F07DD3" w:rsidRPr="00EA7520">
        <w:rPr>
          <w:rFonts w:ascii="Arial" w:hAnsi="Arial" w:cs="Arial"/>
          <w:b/>
          <w:bCs/>
          <w:sz w:val="22"/>
          <w:szCs w:val="22"/>
        </w:rPr>
        <w:t xml:space="preserve"> Survey of Judges, Shari'a Judges and Prosecution Members</w:t>
      </w:r>
    </w:p>
    <w:p w:rsidR="00151660" w:rsidRPr="00151660" w:rsidRDefault="00151660" w:rsidP="00151660">
      <w:pPr>
        <w:bidi w:val="0"/>
        <w:ind w:left="-1"/>
        <w:jc w:val="center"/>
        <w:rPr>
          <w:rFonts w:ascii="Arial" w:hAnsi="Arial" w:cs="Arial"/>
          <w:b/>
          <w:bCs/>
          <w:sz w:val="10"/>
          <w:szCs w:val="10"/>
          <w:rtl/>
        </w:rPr>
      </w:pPr>
    </w:p>
    <w:tbl>
      <w:tblPr>
        <w:tblW w:w="8505" w:type="dxa"/>
        <w:jc w:val="center"/>
        <w:tblLook w:val="04A0"/>
      </w:tblPr>
      <w:tblGrid>
        <w:gridCol w:w="2237"/>
        <w:gridCol w:w="2048"/>
        <w:gridCol w:w="2110"/>
        <w:gridCol w:w="2110"/>
      </w:tblGrid>
      <w:tr w:rsidR="00E5781C" w:rsidRPr="00EA7520" w:rsidTr="000B5EC0">
        <w:trPr>
          <w:trHeight w:val="340"/>
          <w:jc w:val="center"/>
        </w:trPr>
        <w:tc>
          <w:tcPr>
            <w:tcW w:w="2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EA7520" w:rsidRDefault="00E5781C" w:rsidP="000A42DF">
            <w:pPr>
              <w:bidi w:val="0"/>
              <w:jc w:val="center"/>
              <w:rPr>
                <w:rFonts w:ascii="Arial" w:hAnsi="Arial" w:cs="Arial"/>
                <w:b/>
                <w:bCs/>
                <w:sz w:val="18"/>
                <w:szCs w:val="18"/>
                <w:lang w:eastAsia="en-US"/>
              </w:rPr>
            </w:pPr>
            <w:r w:rsidRPr="00EA7520">
              <w:rPr>
                <w:rFonts w:ascii="Arial" w:hAnsi="Arial" w:cs="Arial"/>
                <w:b/>
                <w:bCs/>
                <w:sz w:val="18"/>
                <w:szCs w:val="18"/>
              </w:rPr>
              <w:t>Results of interviews</w:t>
            </w: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EA7520" w:rsidRDefault="00F07DD3" w:rsidP="000A42DF">
            <w:pPr>
              <w:bidi w:val="0"/>
              <w:jc w:val="center"/>
              <w:rPr>
                <w:rFonts w:ascii="Arial" w:hAnsi="Arial" w:cs="Arial"/>
                <w:b/>
                <w:bCs/>
                <w:sz w:val="18"/>
                <w:szCs w:val="18"/>
                <w:rtl/>
                <w:lang w:eastAsia="en-US"/>
              </w:rPr>
            </w:pPr>
            <w:r w:rsidRPr="00EA7520">
              <w:rPr>
                <w:rFonts w:ascii="Arial" w:hAnsi="Arial" w:cs="Arial"/>
                <w:b/>
                <w:bCs/>
                <w:sz w:val="18"/>
                <w:szCs w:val="18"/>
              </w:rPr>
              <w:t>Number of cases for Judges Survey</w:t>
            </w:r>
          </w:p>
        </w:tc>
        <w:tc>
          <w:tcPr>
            <w:tcW w:w="2110" w:type="dxa"/>
            <w:tcBorders>
              <w:top w:val="single" w:sz="4" w:space="0" w:color="auto"/>
              <w:left w:val="single" w:sz="4" w:space="0" w:color="auto"/>
              <w:bottom w:val="single" w:sz="4" w:space="0" w:color="auto"/>
              <w:right w:val="single" w:sz="4" w:space="0" w:color="auto"/>
            </w:tcBorders>
            <w:vAlign w:val="center"/>
          </w:tcPr>
          <w:p w:rsidR="00E5781C" w:rsidRPr="00EA7520" w:rsidRDefault="00F07DD3" w:rsidP="000A42DF">
            <w:pPr>
              <w:bidi w:val="0"/>
              <w:jc w:val="center"/>
              <w:rPr>
                <w:rFonts w:ascii="Arial" w:hAnsi="Arial" w:cs="Arial"/>
                <w:b/>
                <w:bCs/>
                <w:sz w:val="18"/>
                <w:szCs w:val="18"/>
                <w:rtl/>
                <w:lang w:eastAsia="en-US"/>
              </w:rPr>
            </w:pPr>
            <w:r w:rsidRPr="00EA7520">
              <w:rPr>
                <w:rFonts w:ascii="Arial" w:hAnsi="Arial" w:cs="Arial"/>
                <w:b/>
                <w:bCs/>
                <w:sz w:val="18"/>
                <w:szCs w:val="18"/>
              </w:rPr>
              <w:t>Number of cases for Shari'a Judges Survey</w:t>
            </w:r>
          </w:p>
        </w:tc>
        <w:tc>
          <w:tcPr>
            <w:tcW w:w="2110" w:type="dxa"/>
            <w:tcBorders>
              <w:top w:val="single" w:sz="4" w:space="0" w:color="auto"/>
              <w:left w:val="single" w:sz="4" w:space="0" w:color="auto"/>
              <w:bottom w:val="single" w:sz="4" w:space="0" w:color="auto"/>
              <w:right w:val="single" w:sz="4" w:space="0" w:color="auto"/>
            </w:tcBorders>
            <w:vAlign w:val="center"/>
          </w:tcPr>
          <w:p w:rsidR="00E5781C" w:rsidRPr="00EA7520" w:rsidRDefault="00F07DD3" w:rsidP="000A42DF">
            <w:pPr>
              <w:bidi w:val="0"/>
              <w:jc w:val="center"/>
              <w:rPr>
                <w:rFonts w:ascii="Arial" w:hAnsi="Arial" w:cs="Arial"/>
                <w:b/>
                <w:bCs/>
                <w:sz w:val="18"/>
                <w:szCs w:val="18"/>
                <w:rtl/>
                <w:lang w:eastAsia="en-US"/>
              </w:rPr>
            </w:pPr>
            <w:r w:rsidRPr="00EA7520">
              <w:rPr>
                <w:rFonts w:ascii="Arial" w:hAnsi="Arial" w:cs="Arial"/>
                <w:b/>
                <w:bCs/>
                <w:sz w:val="18"/>
                <w:szCs w:val="18"/>
              </w:rPr>
              <w:t>Number of cases for Prosecution Members Survey</w:t>
            </w:r>
          </w:p>
        </w:tc>
      </w:tr>
      <w:tr w:rsidR="00E5781C" w:rsidRPr="00EA7520" w:rsidTr="000B5EC0">
        <w:trPr>
          <w:trHeight w:val="340"/>
          <w:jc w:val="center"/>
        </w:trPr>
        <w:tc>
          <w:tcPr>
            <w:tcW w:w="2237" w:type="dxa"/>
            <w:tcBorders>
              <w:top w:val="single" w:sz="4" w:space="0" w:color="auto"/>
              <w:left w:val="single" w:sz="4" w:space="0" w:color="auto"/>
              <w:right w:val="single" w:sz="4" w:space="0" w:color="auto"/>
            </w:tcBorders>
            <w:shd w:val="clear" w:color="auto" w:fill="auto"/>
            <w:vAlign w:val="center"/>
            <w:hideMark/>
          </w:tcPr>
          <w:p w:rsidR="00E5781C" w:rsidRPr="00EA7520" w:rsidRDefault="00E5781C" w:rsidP="00AC476D">
            <w:pPr>
              <w:bidi w:val="0"/>
              <w:rPr>
                <w:rFonts w:ascii="Arial" w:hAnsi="Arial" w:cs="Arial"/>
                <w:sz w:val="18"/>
                <w:szCs w:val="18"/>
              </w:rPr>
            </w:pPr>
            <w:r w:rsidRPr="00EA7520">
              <w:rPr>
                <w:rFonts w:ascii="Arial" w:hAnsi="Arial" w:cs="Arial"/>
                <w:sz w:val="18"/>
                <w:szCs w:val="18"/>
              </w:rPr>
              <w:t>Completed</w:t>
            </w:r>
          </w:p>
        </w:tc>
        <w:tc>
          <w:tcPr>
            <w:tcW w:w="2048" w:type="dxa"/>
            <w:tcBorders>
              <w:top w:val="single" w:sz="4" w:space="0" w:color="auto"/>
              <w:left w:val="single" w:sz="4" w:space="0" w:color="auto"/>
              <w:right w:val="single" w:sz="4" w:space="0" w:color="auto"/>
            </w:tcBorders>
            <w:shd w:val="clear" w:color="auto" w:fill="auto"/>
            <w:noWrap/>
            <w:vAlign w:val="center"/>
            <w:hideMark/>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144</w:t>
            </w:r>
          </w:p>
        </w:tc>
        <w:tc>
          <w:tcPr>
            <w:tcW w:w="2110" w:type="dxa"/>
            <w:tcBorders>
              <w:top w:val="single" w:sz="4" w:space="0" w:color="auto"/>
              <w:left w:val="single" w:sz="4" w:space="0" w:color="auto"/>
              <w:right w:val="single" w:sz="4" w:space="0" w:color="auto"/>
            </w:tcBorders>
            <w:vAlign w:val="center"/>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63</w:t>
            </w:r>
          </w:p>
        </w:tc>
        <w:tc>
          <w:tcPr>
            <w:tcW w:w="2110" w:type="dxa"/>
            <w:tcBorders>
              <w:top w:val="single" w:sz="4" w:space="0" w:color="auto"/>
              <w:left w:val="single" w:sz="4" w:space="0" w:color="auto"/>
              <w:right w:val="single" w:sz="4" w:space="0" w:color="auto"/>
            </w:tcBorders>
            <w:vAlign w:val="center"/>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183</w:t>
            </w:r>
          </w:p>
        </w:tc>
      </w:tr>
      <w:tr w:rsidR="00E5781C" w:rsidRPr="00EA7520" w:rsidTr="000B5EC0">
        <w:trPr>
          <w:trHeight w:val="340"/>
          <w:jc w:val="center"/>
        </w:trPr>
        <w:tc>
          <w:tcPr>
            <w:tcW w:w="2237" w:type="dxa"/>
            <w:tcBorders>
              <w:top w:val="nil"/>
              <w:left w:val="single" w:sz="4" w:space="0" w:color="auto"/>
              <w:right w:val="single" w:sz="4" w:space="0" w:color="auto"/>
            </w:tcBorders>
            <w:shd w:val="clear" w:color="auto" w:fill="auto"/>
            <w:vAlign w:val="center"/>
            <w:hideMark/>
          </w:tcPr>
          <w:p w:rsidR="00E5781C" w:rsidRPr="00EA7520" w:rsidRDefault="00E5781C" w:rsidP="00AC476D">
            <w:pPr>
              <w:bidi w:val="0"/>
              <w:rPr>
                <w:rFonts w:ascii="Arial" w:hAnsi="Arial" w:cs="Arial"/>
                <w:sz w:val="18"/>
                <w:szCs w:val="18"/>
                <w:rtl/>
              </w:rPr>
            </w:pPr>
            <w:r w:rsidRPr="00EA7520">
              <w:rPr>
                <w:rFonts w:ascii="Arial" w:hAnsi="Arial" w:cs="Arial"/>
                <w:sz w:val="18"/>
                <w:szCs w:val="18"/>
              </w:rPr>
              <w:t xml:space="preserve">Refused </w:t>
            </w:r>
          </w:p>
        </w:tc>
        <w:tc>
          <w:tcPr>
            <w:tcW w:w="2048" w:type="dxa"/>
            <w:tcBorders>
              <w:top w:val="nil"/>
              <w:left w:val="single" w:sz="4" w:space="0" w:color="auto"/>
              <w:right w:val="single" w:sz="4" w:space="0" w:color="auto"/>
            </w:tcBorders>
            <w:shd w:val="clear" w:color="auto" w:fill="auto"/>
            <w:noWrap/>
            <w:vAlign w:val="center"/>
            <w:hideMark/>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10</w:t>
            </w:r>
          </w:p>
        </w:tc>
        <w:tc>
          <w:tcPr>
            <w:tcW w:w="2110" w:type="dxa"/>
            <w:tcBorders>
              <w:top w:val="nil"/>
              <w:left w:val="single" w:sz="4" w:space="0" w:color="auto"/>
              <w:right w:val="single" w:sz="4" w:space="0" w:color="auto"/>
            </w:tcBorders>
            <w:vAlign w:val="center"/>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5</w:t>
            </w:r>
          </w:p>
        </w:tc>
        <w:tc>
          <w:tcPr>
            <w:tcW w:w="2110" w:type="dxa"/>
            <w:tcBorders>
              <w:top w:val="nil"/>
              <w:left w:val="single" w:sz="4" w:space="0" w:color="auto"/>
              <w:right w:val="single" w:sz="4" w:space="0" w:color="auto"/>
            </w:tcBorders>
            <w:vAlign w:val="center"/>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1</w:t>
            </w:r>
          </w:p>
        </w:tc>
      </w:tr>
      <w:tr w:rsidR="00E5781C" w:rsidRPr="00EA7520" w:rsidTr="000B5EC0">
        <w:trPr>
          <w:trHeight w:val="340"/>
          <w:jc w:val="center"/>
        </w:trPr>
        <w:tc>
          <w:tcPr>
            <w:tcW w:w="2237" w:type="dxa"/>
            <w:tcBorders>
              <w:top w:val="nil"/>
              <w:left w:val="single" w:sz="4" w:space="0" w:color="auto"/>
              <w:right w:val="single" w:sz="4" w:space="0" w:color="auto"/>
            </w:tcBorders>
            <w:shd w:val="clear" w:color="auto" w:fill="auto"/>
            <w:vAlign w:val="center"/>
            <w:hideMark/>
          </w:tcPr>
          <w:p w:rsidR="00E5781C" w:rsidRPr="00EA7520" w:rsidRDefault="00E5781C" w:rsidP="00AC476D">
            <w:pPr>
              <w:bidi w:val="0"/>
              <w:rPr>
                <w:rFonts w:ascii="Arial" w:hAnsi="Arial" w:cs="Arial"/>
                <w:sz w:val="18"/>
                <w:szCs w:val="18"/>
              </w:rPr>
            </w:pPr>
            <w:r w:rsidRPr="00EA7520">
              <w:rPr>
                <w:rFonts w:ascii="Arial" w:hAnsi="Arial" w:cs="Arial"/>
                <w:sz w:val="18"/>
                <w:szCs w:val="18"/>
              </w:rPr>
              <w:t xml:space="preserve">Others </w:t>
            </w:r>
          </w:p>
        </w:tc>
        <w:tc>
          <w:tcPr>
            <w:tcW w:w="2048" w:type="dxa"/>
            <w:tcBorders>
              <w:top w:val="nil"/>
              <w:left w:val="single" w:sz="4" w:space="0" w:color="auto"/>
              <w:right w:val="single" w:sz="4" w:space="0" w:color="auto"/>
            </w:tcBorders>
            <w:shd w:val="clear" w:color="auto" w:fill="auto"/>
            <w:noWrap/>
            <w:vAlign w:val="center"/>
            <w:hideMark/>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10</w:t>
            </w:r>
          </w:p>
        </w:tc>
        <w:tc>
          <w:tcPr>
            <w:tcW w:w="2110" w:type="dxa"/>
            <w:tcBorders>
              <w:top w:val="nil"/>
              <w:left w:val="single" w:sz="4" w:space="0" w:color="auto"/>
              <w:right w:val="single" w:sz="4" w:space="0" w:color="auto"/>
            </w:tcBorders>
            <w:vAlign w:val="center"/>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6</w:t>
            </w:r>
          </w:p>
        </w:tc>
        <w:tc>
          <w:tcPr>
            <w:tcW w:w="2110" w:type="dxa"/>
            <w:tcBorders>
              <w:top w:val="nil"/>
              <w:left w:val="single" w:sz="4" w:space="0" w:color="auto"/>
              <w:right w:val="single" w:sz="4" w:space="0" w:color="auto"/>
            </w:tcBorders>
            <w:vAlign w:val="center"/>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6</w:t>
            </w:r>
          </w:p>
        </w:tc>
      </w:tr>
      <w:tr w:rsidR="00E5781C" w:rsidRPr="00EA7520" w:rsidTr="000B5EC0">
        <w:trPr>
          <w:trHeight w:val="340"/>
          <w:jc w:val="center"/>
        </w:trPr>
        <w:tc>
          <w:tcPr>
            <w:tcW w:w="2237" w:type="dxa"/>
            <w:tcBorders>
              <w:left w:val="single" w:sz="4" w:space="0" w:color="auto"/>
              <w:right w:val="single" w:sz="4" w:space="0" w:color="auto"/>
            </w:tcBorders>
            <w:shd w:val="clear" w:color="auto" w:fill="auto"/>
            <w:vAlign w:val="center"/>
            <w:hideMark/>
          </w:tcPr>
          <w:p w:rsidR="00E5781C" w:rsidRPr="00EA7520" w:rsidRDefault="00DD2FF8" w:rsidP="00AC476D">
            <w:pPr>
              <w:bidi w:val="0"/>
              <w:rPr>
                <w:rFonts w:ascii="Arial" w:hAnsi="Arial" w:cs="Arial"/>
                <w:b/>
                <w:bCs/>
                <w:sz w:val="18"/>
                <w:szCs w:val="18"/>
                <w:rtl/>
              </w:rPr>
            </w:pPr>
            <w:r w:rsidRPr="00EA7520">
              <w:rPr>
                <w:rFonts w:ascii="Arial" w:hAnsi="Arial" w:cs="Arial"/>
                <w:b/>
                <w:bCs/>
                <w:sz w:val="18"/>
                <w:szCs w:val="18"/>
              </w:rPr>
              <w:t>Total</w:t>
            </w:r>
          </w:p>
        </w:tc>
        <w:tc>
          <w:tcPr>
            <w:tcW w:w="2048" w:type="dxa"/>
            <w:tcBorders>
              <w:left w:val="single" w:sz="4" w:space="0" w:color="auto"/>
              <w:right w:val="single" w:sz="4" w:space="0" w:color="auto"/>
            </w:tcBorders>
            <w:shd w:val="clear" w:color="auto" w:fill="auto"/>
            <w:noWrap/>
            <w:vAlign w:val="center"/>
            <w:hideMark/>
          </w:tcPr>
          <w:p w:rsidR="00E5781C" w:rsidRPr="00EA7520" w:rsidRDefault="00E5781C" w:rsidP="00151660">
            <w:pPr>
              <w:bidi w:val="0"/>
              <w:ind w:right="492"/>
              <w:jc w:val="right"/>
              <w:rPr>
                <w:rFonts w:ascii="Arial" w:hAnsi="Arial" w:cs="Arial"/>
                <w:b/>
                <w:bCs/>
                <w:sz w:val="18"/>
                <w:szCs w:val="18"/>
              </w:rPr>
            </w:pPr>
            <w:r w:rsidRPr="00EA7520">
              <w:rPr>
                <w:rFonts w:ascii="Arial" w:hAnsi="Arial" w:cs="Arial"/>
                <w:b/>
                <w:bCs/>
                <w:sz w:val="18"/>
                <w:szCs w:val="18"/>
              </w:rPr>
              <w:t>164</w:t>
            </w:r>
          </w:p>
        </w:tc>
        <w:tc>
          <w:tcPr>
            <w:tcW w:w="2110" w:type="dxa"/>
            <w:tcBorders>
              <w:left w:val="single" w:sz="4" w:space="0" w:color="auto"/>
              <w:right w:val="single" w:sz="4" w:space="0" w:color="auto"/>
            </w:tcBorders>
            <w:vAlign w:val="center"/>
          </w:tcPr>
          <w:p w:rsidR="00E5781C" w:rsidRPr="00EA7520" w:rsidRDefault="00E5781C" w:rsidP="00151660">
            <w:pPr>
              <w:bidi w:val="0"/>
              <w:ind w:right="492"/>
              <w:jc w:val="right"/>
              <w:rPr>
                <w:rFonts w:ascii="Arial" w:hAnsi="Arial" w:cs="Arial"/>
                <w:b/>
                <w:bCs/>
                <w:sz w:val="18"/>
                <w:szCs w:val="18"/>
              </w:rPr>
            </w:pPr>
            <w:r w:rsidRPr="00EA7520">
              <w:rPr>
                <w:rFonts w:ascii="Arial" w:hAnsi="Arial" w:cs="Arial"/>
                <w:b/>
                <w:bCs/>
                <w:sz w:val="18"/>
                <w:szCs w:val="18"/>
              </w:rPr>
              <w:t>74</w:t>
            </w:r>
          </w:p>
        </w:tc>
        <w:tc>
          <w:tcPr>
            <w:tcW w:w="2110" w:type="dxa"/>
            <w:tcBorders>
              <w:left w:val="single" w:sz="4" w:space="0" w:color="auto"/>
              <w:right w:val="single" w:sz="4" w:space="0" w:color="auto"/>
            </w:tcBorders>
            <w:vAlign w:val="center"/>
          </w:tcPr>
          <w:p w:rsidR="00E5781C" w:rsidRPr="00EA7520" w:rsidRDefault="00E5781C" w:rsidP="00151660">
            <w:pPr>
              <w:bidi w:val="0"/>
              <w:ind w:right="492"/>
              <w:jc w:val="right"/>
              <w:rPr>
                <w:rFonts w:ascii="Arial" w:hAnsi="Arial" w:cs="Arial"/>
                <w:b/>
                <w:bCs/>
                <w:sz w:val="18"/>
                <w:szCs w:val="18"/>
              </w:rPr>
            </w:pPr>
            <w:r w:rsidRPr="00EA7520">
              <w:rPr>
                <w:rFonts w:ascii="Arial" w:hAnsi="Arial" w:cs="Arial"/>
                <w:b/>
                <w:bCs/>
                <w:sz w:val="18"/>
                <w:szCs w:val="18"/>
              </w:rPr>
              <w:t>190</w:t>
            </w:r>
          </w:p>
        </w:tc>
      </w:tr>
      <w:tr w:rsidR="00E5781C" w:rsidRPr="00EA7520" w:rsidTr="000B5EC0">
        <w:trPr>
          <w:trHeight w:val="340"/>
          <w:jc w:val="center"/>
        </w:trPr>
        <w:tc>
          <w:tcPr>
            <w:tcW w:w="2237" w:type="dxa"/>
            <w:tcBorders>
              <w:left w:val="single" w:sz="4" w:space="0" w:color="auto"/>
              <w:right w:val="single" w:sz="4" w:space="0" w:color="auto"/>
            </w:tcBorders>
            <w:shd w:val="clear" w:color="auto" w:fill="auto"/>
            <w:vAlign w:val="center"/>
            <w:hideMark/>
          </w:tcPr>
          <w:p w:rsidR="00E5781C" w:rsidRPr="00EA7520" w:rsidRDefault="00E5781C" w:rsidP="00AC476D">
            <w:pPr>
              <w:bidi w:val="0"/>
              <w:rPr>
                <w:rFonts w:ascii="Arial" w:hAnsi="Arial" w:cs="Arial"/>
                <w:sz w:val="18"/>
                <w:szCs w:val="18"/>
                <w:rtl/>
              </w:rPr>
            </w:pPr>
            <w:r w:rsidRPr="00EA7520">
              <w:rPr>
                <w:rFonts w:ascii="Arial" w:hAnsi="Arial" w:cs="Arial"/>
                <w:sz w:val="18"/>
                <w:szCs w:val="18"/>
              </w:rPr>
              <w:t>Response Rate</w:t>
            </w:r>
          </w:p>
        </w:tc>
        <w:tc>
          <w:tcPr>
            <w:tcW w:w="2048" w:type="dxa"/>
            <w:tcBorders>
              <w:left w:val="single" w:sz="4" w:space="0" w:color="auto"/>
              <w:right w:val="single" w:sz="4" w:space="0" w:color="auto"/>
            </w:tcBorders>
            <w:shd w:val="clear" w:color="auto" w:fill="auto"/>
            <w:noWrap/>
            <w:vAlign w:val="center"/>
            <w:hideMark/>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87.8%</w:t>
            </w:r>
          </w:p>
        </w:tc>
        <w:tc>
          <w:tcPr>
            <w:tcW w:w="2110" w:type="dxa"/>
            <w:tcBorders>
              <w:left w:val="single" w:sz="4" w:space="0" w:color="auto"/>
              <w:right w:val="single" w:sz="4" w:space="0" w:color="auto"/>
            </w:tcBorders>
            <w:vAlign w:val="center"/>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85.1%</w:t>
            </w:r>
          </w:p>
        </w:tc>
        <w:tc>
          <w:tcPr>
            <w:tcW w:w="2110" w:type="dxa"/>
            <w:tcBorders>
              <w:left w:val="single" w:sz="4" w:space="0" w:color="auto"/>
              <w:right w:val="single" w:sz="4" w:space="0" w:color="auto"/>
            </w:tcBorders>
            <w:vAlign w:val="center"/>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96.3%</w:t>
            </w:r>
          </w:p>
        </w:tc>
      </w:tr>
      <w:tr w:rsidR="00E5781C" w:rsidRPr="00EA7520" w:rsidTr="000B5EC0">
        <w:trPr>
          <w:trHeight w:val="340"/>
          <w:jc w:val="center"/>
        </w:trPr>
        <w:tc>
          <w:tcPr>
            <w:tcW w:w="2237" w:type="dxa"/>
            <w:tcBorders>
              <w:left w:val="single" w:sz="4" w:space="0" w:color="auto"/>
              <w:bottom w:val="single" w:sz="4" w:space="0" w:color="auto"/>
              <w:right w:val="single" w:sz="4" w:space="0" w:color="auto"/>
            </w:tcBorders>
            <w:shd w:val="clear" w:color="auto" w:fill="auto"/>
            <w:vAlign w:val="center"/>
            <w:hideMark/>
          </w:tcPr>
          <w:p w:rsidR="00E5781C" w:rsidRPr="00EA7520" w:rsidRDefault="00E5781C" w:rsidP="00AC476D">
            <w:pPr>
              <w:bidi w:val="0"/>
              <w:rPr>
                <w:rFonts w:ascii="Arial" w:hAnsi="Arial" w:cs="Arial"/>
                <w:sz w:val="18"/>
                <w:szCs w:val="18"/>
                <w:rtl/>
              </w:rPr>
            </w:pPr>
            <w:r w:rsidRPr="00EA7520">
              <w:rPr>
                <w:rFonts w:ascii="Arial" w:hAnsi="Arial" w:cs="Arial"/>
                <w:sz w:val="18"/>
                <w:szCs w:val="18"/>
              </w:rPr>
              <w:t>Non-Response Rate</w:t>
            </w:r>
          </w:p>
        </w:tc>
        <w:tc>
          <w:tcPr>
            <w:tcW w:w="2048" w:type="dxa"/>
            <w:tcBorders>
              <w:left w:val="single" w:sz="4" w:space="0" w:color="auto"/>
              <w:bottom w:val="single" w:sz="4" w:space="0" w:color="auto"/>
              <w:right w:val="single" w:sz="4" w:space="0" w:color="auto"/>
            </w:tcBorders>
            <w:shd w:val="clear" w:color="auto" w:fill="auto"/>
            <w:noWrap/>
            <w:vAlign w:val="center"/>
            <w:hideMark/>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12.2%</w:t>
            </w:r>
          </w:p>
        </w:tc>
        <w:tc>
          <w:tcPr>
            <w:tcW w:w="2110" w:type="dxa"/>
            <w:tcBorders>
              <w:left w:val="single" w:sz="4" w:space="0" w:color="auto"/>
              <w:bottom w:val="single" w:sz="4" w:space="0" w:color="auto"/>
              <w:right w:val="single" w:sz="4" w:space="0" w:color="auto"/>
            </w:tcBorders>
            <w:vAlign w:val="center"/>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14.9%</w:t>
            </w:r>
          </w:p>
        </w:tc>
        <w:tc>
          <w:tcPr>
            <w:tcW w:w="2110" w:type="dxa"/>
            <w:tcBorders>
              <w:left w:val="single" w:sz="4" w:space="0" w:color="auto"/>
              <w:bottom w:val="single" w:sz="4" w:space="0" w:color="auto"/>
              <w:right w:val="single" w:sz="4" w:space="0" w:color="auto"/>
            </w:tcBorders>
            <w:vAlign w:val="center"/>
          </w:tcPr>
          <w:p w:rsidR="00E5781C" w:rsidRPr="00EA7520" w:rsidRDefault="00E5781C" w:rsidP="00151660">
            <w:pPr>
              <w:bidi w:val="0"/>
              <w:ind w:right="492"/>
              <w:jc w:val="right"/>
              <w:rPr>
                <w:rFonts w:ascii="Arial" w:hAnsi="Arial" w:cs="Arial"/>
                <w:sz w:val="18"/>
                <w:szCs w:val="18"/>
              </w:rPr>
            </w:pPr>
            <w:r w:rsidRPr="00EA7520">
              <w:rPr>
                <w:rFonts w:ascii="Arial" w:hAnsi="Arial" w:cs="Arial"/>
                <w:sz w:val="18"/>
                <w:szCs w:val="18"/>
              </w:rPr>
              <w:t>3.7%</w:t>
            </w:r>
          </w:p>
        </w:tc>
      </w:tr>
    </w:tbl>
    <w:p w:rsidR="00E5781C" w:rsidRDefault="00E5781C" w:rsidP="00AC476D">
      <w:pPr>
        <w:bidi w:val="0"/>
        <w:ind w:hanging="1"/>
        <w:rPr>
          <w:rFonts w:asciiTheme="majorBidi" w:hAnsiTheme="majorBidi" w:cstheme="majorBidi"/>
          <w:b/>
          <w:bCs/>
        </w:rPr>
      </w:pPr>
    </w:p>
    <w:p w:rsidR="00151660" w:rsidRDefault="00151660">
      <w:pPr>
        <w:bidi w:val="0"/>
        <w:rPr>
          <w:rFonts w:ascii="Arial" w:hAnsi="Arial" w:cs="Arial"/>
          <w:b/>
          <w:bCs/>
          <w:sz w:val="22"/>
          <w:szCs w:val="22"/>
        </w:rPr>
      </w:pPr>
      <w:r>
        <w:rPr>
          <w:rFonts w:ascii="Arial" w:hAnsi="Arial" w:cs="Arial"/>
          <w:b/>
          <w:bCs/>
          <w:sz w:val="22"/>
          <w:szCs w:val="22"/>
        </w:rPr>
        <w:br w:type="page"/>
      </w:r>
    </w:p>
    <w:p w:rsidR="005623CF" w:rsidRDefault="005623CF" w:rsidP="000B5EC0">
      <w:pPr>
        <w:bidi w:val="0"/>
        <w:ind w:hanging="1"/>
        <w:jc w:val="center"/>
        <w:rPr>
          <w:rFonts w:ascii="Arial" w:hAnsi="Arial" w:cs="Arial"/>
          <w:b/>
          <w:bCs/>
          <w:sz w:val="22"/>
          <w:szCs w:val="22"/>
        </w:rPr>
      </w:pPr>
      <w:r w:rsidRPr="004F6DA6">
        <w:rPr>
          <w:rFonts w:ascii="Arial" w:hAnsi="Arial" w:cs="Arial"/>
          <w:b/>
          <w:bCs/>
          <w:sz w:val="22"/>
          <w:szCs w:val="22"/>
        </w:rPr>
        <w:lastRenderedPageBreak/>
        <w:t xml:space="preserve">Response Rates for Survey of Practicing and Trainee </w:t>
      </w:r>
      <w:r w:rsidR="00E13889" w:rsidRPr="004F6DA6">
        <w:rPr>
          <w:rFonts w:ascii="Arial" w:hAnsi="Arial" w:cs="Arial"/>
          <w:b/>
          <w:bCs/>
          <w:sz w:val="22"/>
          <w:szCs w:val="22"/>
        </w:rPr>
        <w:t>Lawyers</w:t>
      </w:r>
    </w:p>
    <w:p w:rsidR="00151660" w:rsidRPr="00151660" w:rsidRDefault="00151660" w:rsidP="00151660">
      <w:pPr>
        <w:bidi w:val="0"/>
        <w:ind w:hanging="1"/>
        <w:jc w:val="center"/>
        <w:rPr>
          <w:rFonts w:ascii="Arial" w:hAnsi="Arial" w:cs="Arial"/>
          <w:b/>
          <w:bCs/>
          <w:sz w:val="10"/>
          <w:szCs w:val="10"/>
          <w:rtl/>
          <w:lang w:eastAsia="en-US"/>
        </w:rPr>
      </w:pPr>
    </w:p>
    <w:tbl>
      <w:tblPr>
        <w:tblW w:w="8505" w:type="dxa"/>
        <w:jc w:val="center"/>
        <w:tblLook w:val="04A0"/>
      </w:tblPr>
      <w:tblGrid>
        <w:gridCol w:w="2410"/>
        <w:gridCol w:w="3274"/>
        <w:gridCol w:w="2821"/>
      </w:tblGrid>
      <w:tr w:rsidR="00E5781C" w:rsidRPr="004F6DA6" w:rsidTr="00151660">
        <w:trPr>
          <w:trHeight w:val="340"/>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4F6DA6" w:rsidRDefault="00E5781C" w:rsidP="000A42DF">
            <w:pPr>
              <w:bidi w:val="0"/>
              <w:jc w:val="center"/>
              <w:rPr>
                <w:rFonts w:ascii="Arial" w:hAnsi="Arial" w:cs="Arial"/>
                <w:sz w:val="18"/>
                <w:szCs w:val="18"/>
                <w:lang w:eastAsia="en-US"/>
              </w:rPr>
            </w:pPr>
            <w:r w:rsidRPr="004F6DA6">
              <w:rPr>
                <w:rFonts w:ascii="Arial" w:hAnsi="Arial" w:cs="Arial"/>
                <w:sz w:val="18"/>
                <w:szCs w:val="18"/>
              </w:rPr>
              <w:t>Results of interviews</w:t>
            </w:r>
          </w:p>
        </w:tc>
        <w:tc>
          <w:tcPr>
            <w:tcW w:w="3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4F6DA6" w:rsidRDefault="002F207D" w:rsidP="000A42DF">
            <w:pPr>
              <w:bidi w:val="0"/>
              <w:jc w:val="center"/>
              <w:rPr>
                <w:rFonts w:ascii="Arial" w:hAnsi="Arial" w:cs="Arial"/>
                <w:sz w:val="18"/>
                <w:szCs w:val="18"/>
                <w:lang w:eastAsia="en-US"/>
              </w:rPr>
            </w:pPr>
            <w:r w:rsidRPr="004F6DA6">
              <w:rPr>
                <w:rFonts w:ascii="Arial" w:hAnsi="Arial" w:cs="Arial"/>
                <w:sz w:val="18"/>
                <w:szCs w:val="18"/>
              </w:rPr>
              <w:t>Number of cases for Practicing Lawyers</w:t>
            </w:r>
          </w:p>
        </w:tc>
        <w:tc>
          <w:tcPr>
            <w:tcW w:w="2821" w:type="dxa"/>
            <w:tcBorders>
              <w:top w:val="single" w:sz="4" w:space="0" w:color="auto"/>
              <w:left w:val="single" w:sz="4" w:space="0" w:color="auto"/>
              <w:bottom w:val="single" w:sz="4" w:space="0" w:color="auto"/>
              <w:right w:val="single" w:sz="4" w:space="0" w:color="auto"/>
            </w:tcBorders>
            <w:vAlign w:val="center"/>
          </w:tcPr>
          <w:p w:rsidR="00E5781C" w:rsidRPr="004F6DA6" w:rsidRDefault="002F207D" w:rsidP="000A42DF">
            <w:pPr>
              <w:bidi w:val="0"/>
              <w:jc w:val="center"/>
              <w:rPr>
                <w:rFonts w:ascii="Arial" w:hAnsi="Arial" w:cs="Arial"/>
                <w:sz w:val="18"/>
                <w:szCs w:val="18"/>
                <w:rtl/>
                <w:lang w:eastAsia="en-US"/>
              </w:rPr>
            </w:pPr>
            <w:r w:rsidRPr="004F6DA6">
              <w:rPr>
                <w:rFonts w:ascii="Arial" w:hAnsi="Arial" w:cs="Arial"/>
                <w:sz w:val="18"/>
                <w:szCs w:val="18"/>
              </w:rPr>
              <w:t xml:space="preserve">Number of cases for </w:t>
            </w:r>
            <w:r w:rsidR="00E13889" w:rsidRPr="004F6DA6">
              <w:rPr>
                <w:rFonts w:ascii="Arial" w:hAnsi="Arial" w:cs="Arial"/>
                <w:sz w:val="18"/>
                <w:szCs w:val="18"/>
              </w:rPr>
              <w:t>Trainee</w:t>
            </w:r>
            <w:r w:rsidRPr="004F6DA6">
              <w:rPr>
                <w:rFonts w:ascii="Arial" w:hAnsi="Arial" w:cs="Arial"/>
                <w:sz w:val="18"/>
                <w:szCs w:val="18"/>
              </w:rPr>
              <w:t xml:space="preserve"> Lawyers</w:t>
            </w:r>
          </w:p>
        </w:tc>
      </w:tr>
      <w:tr w:rsidR="00E5781C" w:rsidRPr="004F6DA6" w:rsidTr="00151660">
        <w:trPr>
          <w:trHeight w:val="340"/>
          <w:jc w:val="center"/>
        </w:trPr>
        <w:tc>
          <w:tcPr>
            <w:tcW w:w="2410" w:type="dxa"/>
            <w:tcBorders>
              <w:top w:val="single" w:sz="4" w:space="0" w:color="auto"/>
              <w:left w:val="single" w:sz="4" w:space="0" w:color="auto"/>
              <w:right w:val="single" w:sz="4" w:space="0" w:color="auto"/>
            </w:tcBorders>
            <w:shd w:val="clear" w:color="auto" w:fill="auto"/>
            <w:vAlign w:val="center"/>
            <w:hideMark/>
          </w:tcPr>
          <w:p w:rsidR="00E5781C" w:rsidRPr="004F6DA6" w:rsidRDefault="00E5781C" w:rsidP="00AC476D">
            <w:pPr>
              <w:bidi w:val="0"/>
              <w:rPr>
                <w:rFonts w:ascii="Arial" w:hAnsi="Arial" w:cs="Arial"/>
                <w:sz w:val="18"/>
                <w:szCs w:val="18"/>
              </w:rPr>
            </w:pPr>
            <w:r w:rsidRPr="004F6DA6">
              <w:rPr>
                <w:rFonts w:ascii="Arial" w:hAnsi="Arial" w:cs="Arial"/>
                <w:sz w:val="18"/>
                <w:szCs w:val="18"/>
              </w:rPr>
              <w:t>Completed</w:t>
            </w:r>
          </w:p>
        </w:tc>
        <w:tc>
          <w:tcPr>
            <w:tcW w:w="3274" w:type="dxa"/>
            <w:tcBorders>
              <w:top w:val="single" w:sz="4" w:space="0" w:color="auto"/>
              <w:left w:val="single" w:sz="4" w:space="0" w:color="auto"/>
              <w:right w:val="single" w:sz="4" w:space="0" w:color="auto"/>
            </w:tcBorders>
            <w:shd w:val="clear" w:color="auto" w:fill="auto"/>
            <w:noWrap/>
            <w:vAlign w:val="center"/>
            <w:hideMark/>
          </w:tcPr>
          <w:p w:rsidR="00E5781C" w:rsidRPr="004F6DA6" w:rsidRDefault="00E5781C" w:rsidP="000A42DF">
            <w:pPr>
              <w:bidi w:val="0"/>
              <w:jc w:val="center"/>
              <w:rPr>
                <w:rFonts w:ascii="Arial" w:hAnsi="Arial" w:cs="Arial"/>
                <w:sz w:val="18"/>
                <w:szCs w:val="18"/>
              </w:rPr>
            </w:pPr>
            <w:r w:rsidRPr="004F6DA6">
              <w:rPr>
                <w:rFonts w:ascii="Arial" w:hAnsi="Arial" w:cs="Arial"/>
                <w:sz w:val="18"/>
                <w:szCs w:val="18"/>
              </w:rPr>
              <w:t>284</w:t>
            </w:r>
          </w:p>
        </w:tc>
        <w:tc>
          <w:tcPr>
            <w:tcW w:w="2821" w:type="dxa"/>
            <w:tcBorders>
              <w:top w:val="single" w:sz="4" w:space="0" w:color="auto"/>
              <w:left w:val="single" w:sz="4" w:space="0" w:color="auto"/>
              <w:right w:val="single" w:sz="4" w:space="0" w:color="auto"/>
            </w:tcBorders>
            <w:vAlign w:val="center"/>
          </w:tcPr>
          <w:p w:rsidR="00E5781C" w:rsidRPr="004F6DA6" w:rsidRDefault="00E5781C" w:rsidP="000A42DF">
            <w:pPr>
              <w:bidi w:val="0"/>
              <w:jc w:val="center"/>
              <w:rPr>
                <w:rFonts w:ascii="Arial" w:hAnsi="Arial" w:cs="Arial"/>
                <w:sz w:val="18"/>
                <w:szCs w:val="18"/>
              </w:rPr>
            </w:pPr>
            <w:r w:rsidRPr="004F6DA6">
              <w:rPr>
                <w:rFonts w:ascii="Arial" w:hAnsi="Arial" w:cs="Arial"/>
                <w:sz w:val="18"/>
                <w:szCs w:val="18"/>
              </w:rPr>
              <w:t>241</w:t>
            </w:r>
          </w:p>
        </w:tc>
      </w:tr>
      <w:tr w:rsidR="00E5781C" w:rsidRPr="004F6DA6" w:rsidTr="00151660">
        <w:trPr>
          <w:trHeight w:val="340"/>
          <w:jc w:val="center"/>
        </w:trPr>
        <w:tc>
          <w:tcPr>
            <w:tcW w:w="2410" w:type="dxa"/>
            <w:tcBorders>
              <w:top w:val="nil"/>
              <w:left w:val="single" w:sz="4" w:space="0" w:color="auto"/>
              <w:right w:val="single" w:sz="4" w:space="0" w:color="auto"/>
            </w:tcBorders>
            <w:shd w:val="clear" w:color="auto" w:fill="auto"/>
            <w:vAlign w:val="center"/>
            <w:hideMark/>
          </w:tcPr>
          <w:p w:rsidR="00E5781C" w:rsidRPr="004F6DA6" w:rsidRDefault="00E5781C" w:rsidP="00AC476D">
            <w:pPr>
              <w:bidi w:val="0"/>
              <w:rPr>
                <w:rFonts w:ascii="Arial" w:hAnsi="Arial" w:cs="Arial"/>
                <w:sz w:val="18"/>
                <w:szCs w:val="18"/>
              </w:rPr>
            </w:pPr>
            <w:r w:rsidRPr="004F6DA6">
              <w:rPr>
                <w:rFonts w:ascii="Arial" w:hAnsi="Arial" w:cs="Arial"/>
                <w:sz w:val="18"/>
                <w:szCs w:val="18"/>
              </w:rPr>
              <w:t>Partially completed</w:t>
            </w:r>
          </w:p>
        </w:tc>
        <w:tc>
          <w:tcPr>
            <w:tcW w:w="3274" w:type="dxa"/>
            <w:tcBorders>
              <w:top w:val="nil"/>
              <w:left w:val="single" w:sz="4" w:space="0" w:color="auto"/>
              <w:right w:val="single" w:sz="4" w:space="0" w:color="auto"/>
            </w:tcBorders>
            <w:shd w:val="clear" w:color="auto" w:fill="auto"/>
            <w:noWrap/>
            <w:vAlign w:val="center"/>
            <w:hideMark/>
          </w:tcPr>
          <w:p w:rsidR="00E5781C" w:rsidRPr="004F6DA6" w:rsidRDefault="00E5781C" w:rsidP="000A42DF">
            <w:pPr>
              <w:bidi w:val="0"/>
              <w:jc w:val="center"/>
              <w:rPr>
                <w:rFonts w:ascii="Arial" w:hAnsi="Arial" w:cs="Arial"/>
                <w:sz w:val="18"/>
                <w:szCs w:val="18"/>
              </w:rPr>
            </w:pPr>
            <w:r w:rsidRPr="004F6DA6">
              <w:rPr>
                <w:rFonts w:ascii="Arial" w:hAnsi="Arial" w:cs="Arial"/>
                <w:sz w:val="18"/>
                <w:szCs w:val="18"/>
              </w:rPr>
              <w:t>0</w:t>
            </w:r>
          </w:p>
        </w:tc>
        <w:tc>
          <w:tcPr>
            <w:tcW w:w="2821" w:type="dxa"/>
            <w:tcBorders>
              <w:top w:val="nil"/>
              <w:left w:val="single" w:sz="4" w:space="0" w:color="auto"/>
              <w:right w:val="single" w:sz="4" w:space="0" w:color="auto"/>
            </w:tcBorders>
            <w:vAlign w:val="center"/>
          </w:tcPr>
          <w:p w:rsidR="00E5781C" w:rsidRPr="004F6DA6" w:rsidRDefault="00E5781C" w:rsidP="000A42DF">
            <w:pPr>
              <w:bidi w:val="0"/>
              <w:jc w:val="center"/>
              <w:rPr>
                <w:rFonts w:ascii="Arial" w:hAnsi="Arial" w:cs="Arial"/>
                <w:sz w:val="18"/>
                <w:szCs w:val="18"/>
              </w:rPr>
            </w:pPr>
            <w:r w:rsidRPr="004F6DA6">
              <w:rPr>
                <w:rFonts w:ascii="Arial" w:hAnsi="Arial" w:cs="Arial"/>
                <w:sz w:val="18"/>
                <w:szCs w:val="18"/>
              </w:rPr>
              <w:t>1</w:t>
            </w:r>
          </w:p>
        </w:tc>
      </w:tr>
      <w:tr w:rsidR="00E5781C" w:rsidRPr="004F6DA6" w:rsidTr="00151660">
        <w:trPr>
          <w:trHeight w:val="340"/>
          <w:jc w:val="center"/>
        </w:trPr>
        <w:tc>
          <w:tcPr>
            <w:tcW w:w="2410" w:type="dxa"/>
            <w:tcBorders>
              <w:top w:val="nil"/>
              <w:left w:val="single" w:sz="4" w:space="0" w:color="auto"/>
              <w:right w:val="single" w:sz="4" w:space="0" w:color="auto"/>
            </w:tcBorders>
            <w:shd w:val="clear" w:color="auto" w:fill="auto"/>
            <w:vAlign w:val="center"/>
            <w:hideMark/>
          </w:tcPr>
          <w:p w:rsidR="00E5781C" w:rsidRPr="004F6DA6" w:rsidRDefault="00E5781C" w:rsidP="00AC476D">
            <w:pPr>
              <w:bidi w:val="0"/>
              <w:rPr>
                <w:rFonts w:ascii="Arial" w:hAnsi="Arial" w:cs="Arial"/>
                <w:sz w:val="18"/>
                <w:szCs w:val="18"/>
              </w:rPr>
            </w:pPr>
            <w:r w:rsidRPr="004F6DA6">
              <w:rPr>
                <w:rFonts w:ascii="Arial" w:hAnsi="Arial" w:cs="Arial"/>
                <w:sz w:val="18"/>
                <w:szCs w:val="18"/>
              </w:rPr>
              <w:t xml:space="preserve">Refused </w:t>
            </w:r>
          </w:p>
        </w:tc>
        <w:tc>
          <w:tcPr>
            <w:tcW w:w="3274" w:type="dxa"/>
            <w:tcBorders>
              <w:top w:val="nil"/>
              <w:left w:val="single" w:sz="4" w:space="0" w:color="auto"/>
              <w:right w:val="single" w:sz="4" w:space="0" w:color="auto"/>
            </w:tcBorders>
            <w:shd w:val="clear" w:color="auto" w:fill="auto"/>
            <w:noWrap/>
            <w:vAlign w:val="center"/>
            <w:hideMark/>
          </w:tcPr>
          <w:p w:rsidR="00E5781C" w:rsidRPr="004F6DA6" w:rsidRDefault="00E5781C" w:rsidP="000A42DF">
            <w:pPr>
              <w:bidi w:val="0"/>
              <w:jc w:val="center"/>
              <w:rPr>
                <w:rFonts w:ascii="Arial" w:hAnsi="Arial" w:cs="Arial"/>
                <w:sz w:val="18"/>
                <w:szCs w:val="18"/>
              </w:rPr>
            </w:pPr>
            <w:r w:rsidRPr="004F6DA6">
              <w:rPr>
                <w:rFonts w:ascii="Arial" w:hAnsi="Arial" w:cs="Arial"/>
                <w:sz w:val="18"/>
                <w:szCs w:val="18"/>
              </w:rPr>
              <w:t>9</w:t>
            </w:r>
          </w:p>
        </w:tc>
        <w:tc>
          <w:tcPr>
            <w:tcW w:w="2821" w:type="dxa"/>
            <w:tcBorders>
              <w:top w:val="nil"/>
              <w:left w:val="single" w:sz="4" w:space="0" w:color="auto"/>
              <w:right w:val="single" w:sz="4" w:space="0" w:color="auto"/>
            </w:tcBorders>
            <w:vAlign w:val="center"/>
          </w:tcPr>
          <w:p w:rsidR="00E5781C" w:rsidRPr="004F6DA6" w:rsidRDefault="00E5781C" w:rsidP="000A42DF">
            <w:pPr>
              <w:bidi w:val="0"/>
              <w:jc w:val="center"/>
              <w:rPr>
                <w:rFonts w:ascii="Arial" w:hAnsi="Arial" w:cs="Arial"/>
                <w:sz w:val="18"/>
                <w:szCs w:val="18"/>
                <w:rtl/>
              </w:rPr>
            </w:pPr>
            <w:r w:rsidRPr="004F6DA6">
              <w:rPr>
                <w:rFonts w:ascii="Arial" w:hAnsi="Arial" w:cs="Arial"/>
                <w:sz w:val="18"/>
                <w:szCs w:val="18"/>
              </w:rPr>
              <w:t>16</w:t>
            </w:r>
          </w:p>
        </w:tc>
      </w:tr>
      <w:tr w:rsidR="00E5781C" w:rsidRPr="004F6DA6" w:rsidTr="00151660">
        <w:trPr>
          <w:trHeight w:val="340"/>
          <w:jc w:val="center"/>
        </w:trPr>
        <w:tc>
          <w:tcPr>
            <w:tcW w:w="2410" w:type="dxa"/>
            <w:tcBorders>
              <w:left w:val="single" w:sz="4" w:space="0" w:color="auto"/>
              <w:right w:val="single" w:sz="4" w:space="0" w:color="auto"/>
            </w:tcBorders>
            <w:shd w:val="clear" w:color="auto" w:fill="auto"/>
            <w:vAlign w:val="center"/>
            <w:hideMark/>
          </w:tcPr>
          <w:p w:rsidR="00E5781C" w:rsidRPr="004F6DA6" w:rsidRDefault="00E5781C" w:rsidP="00AC476D">
            <w:pPr>
              <w:bidi w:val="0"/>
              <w:rPr>
                <w:rFonts w:ascii="Arial" w:hAnsi="Arial" w:cs="Arial"/>
                <w:sz w:val="18"/>
                <w:szCs w:val="18"/>
              </w:rPr>
            </w:pPr>
            <w:r w:rsidRPr="004F6DA6">
              <w:rPr>
                <w:rFonts w:ascii="Arial" w:hAnsi="Arial" w:cs="Arial"/>
                <w:sz w:val="18"/>
                <w:szCs w:val="18"/>
              </w:rPr>
              <w:t xml:space="preserve">Others </w:t>
            </w:r>
          </w:p>
        </w:tc>
        <w:tc>
          <w:tcPr>
            <w:tcW w:w="3274" w:type="dxa"/>
            <w:tcBorders>
              <w:left w:val="single" w:sz="4" w:space="0" w:color="auto"/>
              <w:right w:val="single" w:sz="4" w:space="0" w:color="auto"/>
            </w:tcBorders>
            <w:shd w:val="clear" w:color="auto" w:fill="auto"/>
            <w:noWrap/>
            <w:vAlign w:val="center"/>
            <w:hideMark/>
          </w:tcPr>
          <w:p w:rsidR="00E5781C" w:rsidRPr="004F6DA6" w:rsidRDefault="00E5781C" w:rsidP="000A42DF">
            <w:pPr>
              <w:bidi w:val="0"/>
              <w:jc w:val="center"/>
              <w:rPr>
                <w:rFonts w:ascii="Arial" w:hAnsi="Arial" w:cs="Arial"/>
                <w:sz w:val="18"/>
                <w:szCs w:val="18"/>
              </w:rPr>
            </w:pPr>
            <w:r w:rsidRPr="004F6DA6">
              <w:rPr>
                <w:rFonts w:ascii="Arial" w:hAnsi="Arial" w:cs="Arial"/>
                <w:sz w:val="18"/>
                <w:szCs w:val="18"/>
              </w:rPr>
              <w:t>87</w:t>
            </w:r>
          </w:p>
        </w:tc>
        <w:tc>
          <w:tcPr>
            <w:tcW w:w="2821" w:type="dxa"/>
            <w:tcBorders>
              <w:left w:val="single" w:sz="4" w:space="0" w:color="auto"/>
              <w:right w:val="single" w:sz="4" w:space="0" w:color="auto"/>
            </w:tcBorders>
            <w:vAlign w:val="center"/>
          </w:tcPr>
          <w:p w:rsidR="00E5781C" w:rsidRPr="004F6DA6" w:rsidRDefault="00E5781C" w:rsidP="000A42DF">
            <w:pPr>
              <w:bidi w:val="0"/>
              <w:jc w:val="center"/>
              <w:rPr>
                <w:rFonts w:ascii="Arial" w:hAnsi="Arial" w:cs="Arial"/>
                <w:sz w:val="18"/>
                <w:szCs w:val="18"/>
              </w:rPr>
            </w:pPr>
            <w:r w:rsidRPr="004F6DA6">
              <w:rPr>
                <w:rFonts w:ascii="Arial" w:hAnsi="Arial" w:cs="Arial"/>
                <w:sz w:val="18"/>
                <w:szCs w:val="18"/>
              </w:rPr>
              <w:t>122</w:t>
            </w:r>
          </w:p>
        </w:tc>
      </w:tr>
      <w:tr w:rsidR="00E5781C" w:rsidRPr="004F6DA6" w:rsidTr="00151660">
        <w:trPr>
          <w:trHeight w:val="340"/>
          <w:jc w:val="center"/>
        </w:trPr>
        <w:tc>
          <w:tcPr>
            <w:tcW w:w="2410" w:type="dxa"/>
            <w:tcBorders>
              <w:left w:val="single" w:sz="4" w:space="0" w:color="auto"/>
              <w:right w:val="single" w:sz="4" w:space="0" w:color="auto"/>
            </w:tcBorders>
            <w:shd w:val="clear" w:color="auto" w:fill="auto"/>
            <w:vAlign w:val="center"/>
            <w:hideMark/>
          </w:tcPr>
          <w:p w:rsidR="00E5781C" w:rsidRPr="004F6DA6" w:rsidRDefault="005623CF" w:rsidP="00AC476D">
            <w:pPr>
              <w:bidi w:val="0"/>
              <w:rPr>
                <w:rFonts w:ascii="Arial" w:hAnsi="Arial" w:cs="Arial"/>
                <w:b/>
                <w:bCs/>
                <w:sz w:val="18"/>
                <w:szCs w:val="18"/>
              </w:rPr>
            </w:pPr>
            <w:r w:rsidRPr="004F6DA6">
              <w:rPr>
                <w:rFonts w:ascii="Arial" w:hAnsi="Arial" w:cs="Arial"/>
                <w:b/>
                <w:bCs/>
                <w:sz w:val="18"/>
                <w:szCs w:val="18"/>
              </w:rPr>
              <w:t>Total</w:t>
            </w:r>
          </w:p>
        </w:tc>
        <w:tc>
          <w:tcPr>
            <w:tcW w:w="3274" w:type="dxa"/>
            <w:tcBorders>
              <w:left w:val="single" w:sz="4" w:space="0" w:color="auto"/>
              <w:right w:val="single" w:sz="4" w:space="0" w:color="auto"/>
            </w:tcBorders>
            <w:shd w:val="clear" w:color="auto" w:fill="auto"/>
            <w:noWrap/>
            <w:vAlign w:val="center"/>
            <w:hideMark/>
          </w:tcPr>
          <w:p w:rsidR="00E5781C" w:rsidRPr="004F6DA6" w:rsidRDefault="00E5781C" w:rsidP="000A42DF">
            <w:pPr>
              <w:bidi w:val="0"/>
              <w:jc w:val="center"/>
              <w:rPr>
                <w:rFonts w:ascii="Arial" w:hAnsi="Arial" w:cs="Arial"/>
                <w:b/>
                <w:bCs/>
                <w:sz w:val="18"/>
                <w:szCs w:val="18"/>
                <w:rtl/>
              </w:rPr>
            </w:pPr>
            <w:r w:rsidRPr="004F6DA6">
              <w:rPr>
                <w:rFonts w:ascii="Arial" w:hAnsi="Arial" w:cs="Arial"/>
                <w:b/>
                <w:bCs/>
                <w:sz w:val="18"/>
                <w:szCs w:val="18"/>
              </w:rPr>
              <w:t>380</w:t>
            </w:r>
          </w:p>
        </w:tc>
        <w:tc>
          <w:tcPr>
            <w:tcW w:w="2821" w:type="dxa"/>
            <w:tcBorders>
              <w:left w:val="single" w:sz="4" w:space="0" w:color="auto"/>
              <w:right w:val="single" w:sz="4" w:space="0" w:color="auto"/>
            </w:tcBorders>
            <w:vAlign w:val="center"/>
          </w:tcPr>
          <w:p w:rsidR="00E5781C" w:rsidRPr="004F6DA6" w:rsidRDefault="00E5781C" w:rsidP="000A42DF">
            <w:pPr>
              <w:bidi w:val="0"/>
              <w:jc w:val="center"/>
              <w:rPr>
                <w:rFonts w:ascii="Arial" w:hAnsi="Arial" w:cs="Arial"/>
                <w:b/>
                <w:bCs/>
                <w:sz w:val="18"/>
                <w:szCs w:val="18"/>
              </w:rPr>
            </w:pPr>
            <w:r w:rsidRPr="004F6DA6">
              <w:rPr>
                <w:rFonts w:ascii="Arial" w:hAnsi="Arial" w:cs="Arial"/>
                <w:b/>
                <w:bCs/>
                <w:sz w:val="18"/>
                <w:szCs w:val="18"/>
              </w:rPr>
              <w:t>380</w:t>
            </w:r>
          </w:p>
        </w:tc>
      </w:tr>
      <w:tr w:rsidR="00E5781C" w:rsidRPr="004F6DA6" w:rsidTr="00151660">
        <w:trPr>
          <w:trHeight w:val="340"/>
          <w:jc w:val="center"/>
        </w:trPr>
        <w:tc>
          <w:tcPr>
            <w:tcW w:w="2410" w:type="dxa"/>
            <w:tcBorders>
              <w:left w:val="single" w:sz="4" w:space="0" w:color="auto"/>
              <w:right w:val="single" w:sz="4" w:space="0" w:color="auto"/>
            </w:tcBorders>
            <w:shd w:val="clear" w:color="auto" w:fill="auto"/>
            <w:vAlign w:val="center"/>
            <w:hideMark/>
          </w:tcPr>
          <w:p w:rsidR="00E5781C" w:rsidRPr="004F6DA6" w:rsidRDefault="00E5781C" w:rsidP="00AC476D">
            <w:pPr>
              <w:bidi w:val="0"/>
              <w:rPr>
                <w:rFonts w:ascii="Arial" w:hAnsi="Arial" w:cs="Arial"/>
                <w:sz w:val="18"/>
                <w:szCs w:val="18"/>
              </w:rPr>
            </w:pPr>
            <w:r w:rsidRPr="004F6DA6">
              <w:rPr>
                <w:rFonts w:ascii="Arial" w:hAnsi="Arial" w:cs="Arial"/>
                <w:sz w:val="18"/>
                <w:szCs w:val="18"/>
              </w:rPr>
              <w:t>Response Rate</w:t>
            </w:r>
          </w:p>
        </w:tc>
        <w:tc>
          <w:tcPr>
            <w:tcW w:w="3274" w:type="dxa"/>
            <w:tcBorders>
              <w:left w:val="single" w:sz="4" w:space="0" w:color="auto"/>
              <w:right w:val="single" w:sz="4" w:space="0" w:color="auto"/>
            </w:tcBorders>
            <w:shd w:val="clear" w:color="auto" w:fill="auto"/>
            <w:noWrap/>
            <w:vAlign w:val="center"/>
            <w:hideMark/>
          </w:tcPr>
          <w:p w:rsidR="00E5781C" w:rsidRPr="004F6DA6" w:rsidRDefault="00E5781C" w:rsidP="000A42DF">
            <w:pPr>
              <w:bidi w:val="0"/>
              <w:jc w:val="center"/>
              <w:rPr>
                <w:rFonts w:ascii="Arial" w:hAnsi="Arial" w:cs="Arial"/>
                <w:sz w:val="18"/>
                <w:szCs w:val="18"/>
                <w:rtl/>
              </w:rPr>
            </w:pPr>
            <w:r w:rsidRPr="004F6DA6">
              <w:rPr>
                <w:rFonts w:ascii="Arial" w:hAnsi="Arial" w:cs="Arial"/>
                <w:sz w:val="18"/>
                <w:szCs w:val="18"/>
              </w:rPr>
              <w:t>74.7%</w:t>
            </w:r>
          </w:p>
        </w:tc>
        <w:tc>
          <w:tcPr>
            <w:tcW w:w="2821" w:type="dxa"/>
            <w:tcBorders>
              <w:left w:val="single" w:sz="4" w:space="0" w:color="auto"/>
              <w:right w:val="single" w:sz="4" w:space="0" w:color="auto"/>
            </w:tcBorders>
            <w:vAlign w:val="center"/>
          </w:tcPr>
          <w:p w:rsidR="00E5781C" w:rsidRPr="004F6DA6" w:rsidRDefault="00E5781C" w:rsidP="000A42DF">
            <w:pPr>
              <w:bidi w:val="0"/>
              <w:jc w:val="center"/>
              <w:rPr>
                <w:rFonts w:ascii="Arial" w:hAnsi="Arial" w:cs="Arial"/>
                <w:sz w:val="18"/>
                <w:szCs w:val="18"/>
              </w:rPr>
            </w:pPr>
            <w:r w:rsidRPr="004F6DA6">
              <w:rPr>
                <w:rFonts w:ascii="Arial" w:hAnsi="Arial" w:cs="Arial"/>
                <w:sz w:val="18"/>
                <w:szCs w:val="18"/>
              </w:rPr>
              <w:t>63.7%</w:t>
            </w:r>
          </w:p>
        </w:tc>
      </w:tr>
      <w:tr w:rsidR="00E5781C" w:rsidRPr="004F6DA6" w:rsidTr="00151660">
        <w:trPr>
          <w:trHeight w:val="340"/>
          <w:jc w:val="center"/>
        </w:trPr>
        <w:tc>
          <w:tcPr>
            <w:tcW w:w="2410" w:type="dxa"/>
            <w:tcBorders>
              <w:left w:val="single" w:sz="4" w:space="0" w:color="auto"/>
              <w:bottom w:val="single" w:sz="4" w:space="0" w:color="auto"/>
              <w:right w:val="single" w:sz="4" w:space="0" w:color="auto"/>
            </w:tcBorders>
            <w:shd w:val="clear" w:color="auto" w:fill="auto"/>
            <w:vAlign w:val="center"/>
            <w:hideMark/>
          </w:tcPr>
          <w:p w:rsidR="00E5781C" w:rsidRPr="004F6DA6" w:rsidRDefault="00E5781C" w:rsidP="00AC476D">
            <w:pPr>
              <w:bidi w:val="0"/>
              <w:rPr>
                <w:rFonts w:ascii="Arial" w:hAnsi="Arial" w:cs="Arial"/>
                <w:sz w:val="18"/>
                <w:szCs w:val="18"/>
              </w:rPr>
            </w:pPr>
            <w:r w:rsidRPr="004F6DA6">
              <w:rPr>
                <w:rFonts w:ascii="Arial" w:hAnsi="Arial" w:cs="Arial"/>
                <w:sz w:val="18"/>
                <w:szCs w:val="18"/>
              </w:rPr>
              <w:t>Non-Response Rate</w:t>
            </w:r>
          </w:p>
        </w:tc>
        <w:tc>
          <w:tcPr>
            <w:tcW w:w="3274" w:type="dxa"/>
            <w:tcBorders>
              <w:left w:val="single" w:sz="4" w:space="0" w:color="auto"/>
              <w:bottom w:val="single" w:sz="4" w:space="0" w:color="auto"/>
              <w:right w:val="single" w:sz="4" w:space="0" w:color="auto"/>
            </w:tcBorders>
            <w:shd w:val="clear" w:color="auto" w:fill="auto"/>
            <w:noWrap/>
            <w:vAlign w:val="center"/>
            <w:hideMark/>
          </w:tcPr>
          <w:p w:rsidR="00E5781C" w:rsidRPr="004F6DA6" w:rsidRDefault="00E5781C" w:rsidP="000A42DF">
            <w:pPr>
              <w:bidi w:val="0"/>
              <w:jc w:val="center"/>
              <w:rPr>
                <w:rFonts w:ascii="Arial" w:hAnsi="Arial" w:cs="Arial"/>
                <w:sz w:val="18"/>
                <w:szCs w:val="18"/>
              </w:rPr>
            </w:pPr>
            <w:r w:rsidRPr="004F6DA6">
              <w:rPr>
                <w:rFonts w:ascii="Arial" w:hAnsi="Arial" w:cs="Arial"/>
                <w:sz w:val="18"/>
                <w:szCs w:val="18"/>
              </w:rPr>
              <w:t>25.3%</w:t>
            </w:r>
          </w:p>
        </w:tc>
        <w:tc>
          <w:tcPr>
            <w:tcW w:w="2821" w:type="dxa"/>
            <w:tcBorders>
              <w:left w:val="single" w:sz="4" w:space="0" w:color="auto"/>
              <w:bottom w:val="single" w:sz="4" w:space="0" w:color="auto"/>
              <w:right w:val="single" w:sz="4" w:space="0" w:color="auto"/>
            </w:tcBorders>
            <w:vAlign w:val="center"/>
          </w:tcPr>
          <w:p w:rsidR="00E5781C" w:rsidRPr="004F6DA6" w:rsidRDefault="00E5781C" w:rsidP="000A42DF">
            <w:pPr>
              <w:bidi w:val="0"/>
              <w:jc w:val="center"/>
              <w:rPr>
                <w:rFonts w:ascii="Arial" w:hAnsi="Arial" w:cs="Arial"/>
                <w:sz w:val="18"/>
                <w:szCs w:val="18"/>
              </w:rPr>
            </w:pPr>
            <w:r w:rsidRPr="004F6DA6">
              <w:rPr>
                <w:rFonts w:ascii="Arial" w:hAnsi="Arial" w:cs="Arial"/>
                <w:sz w:val="18"/>
                <w:szCs w:val="18"/>
              </w:rPr>
              <w:t>36.3%</w:t>
            </w:r>
          </w:p>
        </w:tc>
      </w:tr>
    </w:tbl>
    <w:p w:rsidR="00E5781C" w:rsidRPr="00C84E64" w:rsidRDefault="00E5781C" w:rsidP="00AC476D">
      <w:pPr>
        <w:bidi w:val="0"/>
        <w:ind w:hanging="1"/>
        <w:rPr>
          <w:rFonts w:asciiTheme="majorBidi" w:hAnsiTheme="majorBidi" w:cstheme="majorBidi"/>
          <w:b/>
          <w:bCs/>
          <w:sz w:val="18"/>
          <w:szCs w:val="18"/>
          <w:rtl/>
        </w:rPr>
      </w:pPr>
    </w:p>
    <w:p w:rsidR="007D1AB2" w:rsidRPr="00C84E64" w:rsidRDefault="007D1AB2" w:rsidP="000A42DF">
      <w:pPr>
        <w:bidi w:val="0"/>
        <w:ind w:hanging="1"/>
        <w:jc w:val="center"/>
        <w:rPr>
          <w:rFonts w:asciiTheme="majorBidi" w:hAnsiTheme="majorBidi" w:cstheme="majorBidi"/>
          <w:b/>
          <w:bCs/>
          <w:sz w:val="18"/>
          <w:szCs w:val="18"/>
        </w:rPr>
      </w:pPr>
    </w:p>
    <w:p w:rsidR="005623CF" w:rsidRDefault="005623CF" w:rsidP="007D1AB2">
      <w:pPr>
        <w:bidi w:val="0"/>
        <w:ind w:hanging="1"/>
        <w:jc w:val="center"/>
        <w:rPr>
          <w:rFonts w:ascii="Arial" w:hAnsi="Arial" w:cs="Arial"/>
          <w:b/>
          <w:bCs/>
          <w:sz w:val="22"/>
          <w:szCs w:val="22"/>
          <w:lang w:eastAsia="en-US"/>
        </w:rPr>
      </w:pPr>
      <w:r w:rsidRPr="004F6DA6">
        <w:rPr>
          <w:rFonts w:ascii="Arial" w:hAnsi="Arial" w:cs="Arial"/>
          <w:b/>
          <w:bCs/>
          <w:sz w:val="22"/>
          <w:szCs w:val="22"/>
        </w:rPr>
        <w:t xml:space="preserve">Response Rates for Survey of  Law </w:t>
      </w:r>
      <w:r w:rsidR="00E13889" w:rsidRPr="004F6DA6">
        <w:rPr>
          <w:rFonts w:ascii="Arial" w:hAnsi="Arial" w:cs="Arial"/>
          <w:b/>
          <w:bCs/>
          <w:sz w:val="22"/>
          <w:szCs w:val="22"/>
        </w:rPr>
        <w:t>Academicians</w:t>
      </w:r>
      <w:r w:rsidRPr="004F6DA6">
        <w:rPr>
          <w:rFonts w:ascii="Arial" w:hAnsi="Arial" w:cs="Arial"/>
          <w:b/>
          <w:bCs/>
          <w:sz w:val="22"/>
          <w:szCs w:val="22"/>
        </w:rPr>
        <w:t xml:space="preserve"> and Law Students in Palestinian Universities</w:t>
      </w:r>
    </w:p>
    <w:p w:rsidR="00151660" w:rsidRPr="00151660" w:rsidRDefault="00151660" w:rsidP="00151660">
      <w:pPr>
        <w:bidi w:val="0"/>
        <w:ind w:hanging="1"/>
        <w:jc w:val="center"/>
        <w:rPr>
          <w:rFonts w:ascii="Arial" w:hAnsi="Arial" w:cs="Arial"/>
          <w:b/>
          <w:bCs/>
          <w:sz w:val="10"/>
          <w:szCs w:val="10"/>
          <w:rtl/>
          <w:lang w:eastAsia="en-US"/>
        </w:rPr>
      </w:pPr>
    </w:p>
    <w:tbl>
      <w:tblPr>
        <w:tblpPr w:leftFromText="180" w:rightFromText="180" w:vertAnchor="text" w:tblpXSpec="center" w:tblpY="1"/>
        <w:tblOverlap w:val="never"/>
        <w:tblW w:w="8505" w:type="dxa"/>
        <w:tblLook w:val="04A0"/>
      </w:tblPr>
      <w:tblGrid>
        <w:gridCol w:w="2835"/>
        <w:gridCol w:w="2803"/>
        <w:gridCol w:w="2867"/>
      </w:tblGrid>
      <w:tr w:rsidR="00E5781C" w:rsidRPr="004F6DA6" w:rsidTr="000B5EC0">
        <w:trPr>
          <w:trHeight w:val="34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4F6DA6" w:rsidRDefault="00E5781C" w:rsidP="000A42DF">
            <w:pPr>
              <w:bidi w:val="0"/>
              <w:jc w:val="center"/>
              <w:rPr>
                <w:rFonts w:ascii="Arial" w:hAnsi="Arial" w:cs="Arial"/>
                <w:b/>
                <w:bCs/>
                <w:sz w:val="18"/>
                <w:szCs w:val="18"/>
                <w:lang w:eastAsia="en-US"/>
              </w:rPr>
            </w:pPr>
            <w:r w:rsidRPr="004F6DA6">
              <w:rPr>
                <w:rFonts w:ascii="Arial" w:hAnsi="Arial" w:cs="Arial"/>
                <w:b/>
                <w:bCs/>
                <w:sz w:val="18"/>
                <w:szCs w:val="18"/>
              </w:rPr>
              <w:t>Results of interviews</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81C" w:rsidRPr="004F6DA6" w:rsidRDefault="002F207D" w:rsidP="000A42DF">
            <w:pPr>
              <w:bidi w:val="0"/>
              <w:jc w:val="center"/>
              <w:rPr>
                <w:rFonts w:ascii="Arial" w:hAnsi="Arial" w:cs="Arial"/>
                <w:b/>
                <w:bCs/>
                <w:sz w:val="18"/>
                <w:szCs w:val="18"/>
                <w:lang w:eastAsia="en-US"/>
              </w:rPr>
            </w:pPr>
            <w:r w:rsidRPr="004F6DA6">
              <w:rPr>
                <w:rFonts w:ascii="Arial" w:hAnsi="Arial" w:cs="Arial"/>
                <w:b/>
                <w:bCs/>
                <w:sz w:val="18"/>
                <w:szCs w:val="18"/>
              </w:rPr>
              <w:t xml:space="preserve">Number of cases for  Law </w:t>
            </w:r>
            <w:r w:rsidR="00E13889" w:rsidRPr="004F6DA6">
              <w:rPr>
                <w:rFonts w:ascii="Arial" w:hAnsi="Arial" w:cs="Arial"/>
                <w:b/>
                <w:bCs/>
                <w:sz w:val="18"/>
                <w:szCs w:val="18"/>
              </w:rPr>
              <w:t xml:space="preserve"> Academicians</w:t>
            </w:r>
          </w:p>
        </w:tc>
        <w:tc>
          <w:tcPr>
            <w:tcW w:w="2867" w:type="dxa"/>
            <w:tcBorders>
              <w:top w:val="single" w:sz="4" w:space="0" w:color="auto"/>
              <w:left w:val="single" w:sz="4" w:space="0" w:color="auto"/>
              <w:bottom w:val="single" w:sz="4" w:space="0" w:color="auto"/>
              <w:right w:val="single" w:sz="4" w:space="0" w:color="auto"/>
            </w:tcBorders>
            <w:vAlign w:val="center"/>
          </w:tcPr>
          <w:p w:rsidR="00E5781C" w:rsidRPr="004F6DA6" w:rsidRDefault="002F207D" w:rsidP="000A42DF">
            <w:pPr>
              <w:bidi w:val="0"/>
              <w:jc w:val="center"/>
              <w:rPr>
                <w:rFonts w:ascii="Arial" w:hAnsi="Arial" w:cs="Arial"/>
                <w:b/>
                <w:bCs/>
                <w:sz w:val="18"/>
                <w:szCs w:val="18"/>
                <w:rtl/>
                <w:lang w:eastAsia="en-US"/>
              </w:rPr>
            </w:pPr>
            <w:r w:rsidRPr="004F6DA6">
              <w:rPr>
                <w:rFonts w:ascii="Arial" w:hAnsi="Arial" w:cs="Arial"/>
                <w:b/>
                <w:bCs/>
                <w:sz w:val="18"/>
                <w:szCs w:val="18"/>
              </w:rPr>
              <w:t>Number of cases for  Law  Students</w:t>
            </w:r>
          </w:p>
        </w:tc>
      </w:tr>
      <w:tr w:rsidR="00E5781C" w:rsidRPr="004F6DA6" w:rsidTr="004F6DA6">
        <w:trPr>
          <w:trHeight w:val="340"/>
        </w:trPr>
        <w:tc>
          <w:tcPr>
            <w:tcW w:w="2835" w:type="dxa"/>
            <w:tcBorders>
              <w:top w:val="single" w:sz="4" w:space="0" w:color="auto"/>
              <w:left w:val="single" w:sz="4" w:space="0" w:color="auto"/>
              <w:right w:val="single" w:sz="4" w:space="0" w:color="auto"/>
            </w:tcBorders>
            <w:shd w:val="clear" w:color="auto" w:fill="auto"/>
            <w:vAlign w:val="center"/>
            <w:hideMark/>
          </w:tcPr>
          <w:p w:rsidR="00E5781C" w:rsidRPr="004F6DA6" w:rsidRDefault="00E5781C" w:rsidP="004F6DA6">
            <w:pPr>
              <w:bidi w:val="0"/>
              <w:rPr>
                <w:rFonts w:ascii="Arial" w:hAnsi="Arial" w:cs="Arial"/>
                <w:sz w:val="18"/>
                <w:szCs w:val="18"/>
              </w:rPr>
            </w:pPr>
            <w:r w:rsidRPr="004F6DA6">
              <w:rPr>
                <w:rFonts w:ascii="Arial" w:hAnsi="Arial" w:cs="Arial"/>
                <w:sz w:val="18"/>
                <w:szCs w:val="18"/>
              </w:rPr>
              <w:t>Completed</w:t>
            </w:r>
          </w:p>
        </w:tc>
        <w:tc>
          <w:tcPr>
            <w:tcW w:w="2803" w:type="dxa"/>
            <w:tcBorders>
              <w:top w:val="single" w:sz="4" w:space="0" w:color="auto"/>
              <w:left w:val="single" w:sz="4" w:space="0" w:color="auto"/>
              <w:right w:val="single" w:sz="4" w:space="0" w:color="auto"/>
            </w:tcBorders>
            <w:shd w:val="clear" w:color="auto" w:fill="auto"/>
            <w:noWrap/>
            <w:vAlign w:val="center"/>
            <w:hideMark/>
          </w:tcPr>
          <w:p w:rsidR="00E5781C" w:rsidRPr="004F6DA6" w:rsidRDefault="00E5781C" w:rsidP="00151660">
            <w:pPr>
              <w:bidi w:val="0"/>
              <w:ind w:right="886"/>
              <w:jc w:val="right"/>
              <w:rPr>
                <w:rFonts w:ascii="Arial" w:hAnsi="Arial" w:cs="Arial"/>
                <w:sz w:val="18"/>
                <w:szCs w:val="18"/>
              </w:rPr>
            </w:pPr>
            <w:r w:rsidRPr="004F6DA6">
              <w:rPr>
                <w:rFonts w:ascii="Arial" w:hAnsi="Arial" w:cs="Arial"/>
                <w:sz w:val="18"/>
                <w:szCs w:val="18"/>
              </w:rPr>
              <w:t>244</w:t>
            </w:r>
          </w:p>
        </w:tc>
        <w:tc>
          <w:tcPr>
            <w:tcW w:w="2867" w:type="dxa"/>
            <w:tcBorders>
              <w:top w:val="single" w:sz="4" w:space="0" w:color="auto"/>
              <w:left w:val="single" w:sz="4" w:space="0" w:color="auto"/>
              <w:right w:val="single" w:sz="4" w:space="0" w:color="auto"/>
            </w:tcBorders>
            <w:vAlign w:val="center"/>
          </w:tcPr>
          <w:p w:rsidR="00E5781C" w:rsidRPr="004F6DA6" w:rsidRDefault="00E5781C" w:rsidP="00151660">
            <w:pPr>
              <w:bidi w:val="0"/>
              <w:ind w:right="886"/>
              <w:jc w:val="right"/>
              <w:rPr>
                <w:rFonts w:ascii="Arial" w:hAnsi="Arial" w:cs="Arial"/>
                <w:sz w:val="18"/>
                <w:szCs w:val="18"/>
              </w:rPr>
            </w:pPr>
            <w:r w:rsidRPr="004F6DA6">
              <w:rPr>
                <w:rFonts w:ascii="Arial" w:hAnsi="Arial" w:cs="Arial"/>
                <w:sz w:val="18"/>
                <w:szCs w:val="18"/>
              </w:rPr>
              <w:t>364</w:t>
            </w:r>
          </w:p>
        </w:tc>
      </w:tr>
      <w:tr w:rsidR="00E5781C" w:rsidRPr="004F6DA6" w:rsidTr="004F6DA6">
        <w:trPr>
          <w:trHeight w:val="340"/>
        </w:trPr>
        <w:tc>
          <w:tcPr>
            <w:tcW w:w="2835" w:type="dxa"/>
            <w:tcBorders>
              <w:top w:val="nil"/>
              <w:left w:val="single" w:sz="4" w:space="0" w:color="auto"/>
              <w:right w:val="single" w:sz="4" w:space="0" w:color="auto"/>
            </w:tcBorders>
            <w:shd w:val="clear" w:color="auto" w:fill="auto"/>
            <w:vAlign w:val="center"/>
            <w:hideMark/>
          </w:tcPr>
          <w:p w:rsidR="00E5781C" w:rsidRPr="004F6DA6" w:rsidRDefault="00E5781C" w:rsidP="004F6DA6">
            <w:pPr>
              <w:bidi w:val="0"/>
              <w:rPr>
                <w:rFonts w:ascii="Arial" w:hAnsi="Arial" w:cs="Arial"/>
                <w:sz w:val="18"/>
                <w:szCs w:val="18"/>
              </w:rPr>
            </w:pPr>
            <w:r w:rsidRPr="004F6DA6">
              <w:rPr>
                <w:rFonts w:ascii="Arial" w:hAnsi="Arial" w:cs="Arial"/>
                <w:sz w:val="18"/>
                <w:szCs w:val="18"/>
              </w:rPr>
              <w:t>Partially completed</w:t>
            </w:r>
          </w:p>
        </w:tc>
        <w:tc>
          <w:tcPr>
            <w:tcW w:w="2803" w:type="dxa"/>
            <w:tcBorders>
              <w:top w:val="nil"/>
              <w:left w:val="single" w:sz="4" w:space="0" w:color="auto"/>
              <w:right w:val="single" w:sz="4" w:space="0" w:color="auto"/>
            </w:tcBorders>
            <w:shd w:val="clear" w:color="auto" w:fill="auto"/>
            <w:noWrap/>
            <w:vAlign w:val="center"/>
            <w:hideMark/>
          </w:tcPr>
          <w:p w:rsidR="00E5781C" w:rsidRPr="004F6DA6" w:rsidRDefault="00E5781C" w:rsidP="00151660">
            <w:pPr>
              <w:bidi w:val="0"/>
              <w:ind w:right="886"/>
              <w:jc w:val="right"/>
              <w:rPr>
                <w:rFonts w:ascii="Arial" w:hAnsi="Arial" w:cs="Arial"/>
                <w:sz w:val="18"/>
                <w:szCs w:val="18"/>
              </w:rPr>
            </w:pPr>
            <w:r w:rsidRPr="004F6DA6">
              <w:rPr>
                <w:rFonts w:ascii="Arial" w:hAnsi="Arial" w:cs="Arial"/>
                <w:sz w:val="18"/>
                <w:szCs w:val="18"/>
              </w:rPr>
              <w:t>0</w:t>
            </w:r>
          </w:p>
        </w:tc>
        <w:tc>
          <w:tcPr>
            <w:tcW w:w="2867" w:type="dxa"/>
            <w:tcBorders>
              <w:top w:val="nil"/>
              <w:left w:val="single" w:sz="4" w:space="0" w:color="auto"/>
              <w:right w:val="single" w:sz="4" w:space="0" w:color="auto"/>
            </w:tcBorders>
            <w:vAlign w:val="center"/>
          </w:tcPr>
          <w:p w:rsidR="00E5781C" w:rsidRPr="004F6DA6" w:rsidRDefault="00E5781C" w:rsidP="00151660">
            <w:pPr>
              <w:bidi w:val="0"/>
              <w:ind w:right="886"/>
              <w:jc w:val="right"/>
              <w:rPr>
                <w:rFonts w:ascii="Arial" w:hAnsi="Arial" w:cs="Arial"/>
                <w:sz w:val="18"/>
                <w:szCs w:val="18"/>
              </w:rPr>
            </w:pPr>
            <w:r w:rsidRPr="004F6DA6">
              <w:rPr>
                <w:rFonts w:ascii="Arial" w:hAnsi="Arial" w:cs="Arial"/>
                <w:sz w:val="18"/>
                <w:szCs w:val="18"/>
              </w:rPr>
              <w:t>0</w:t>
            </w:r>
          </w:p>
        </w:tc>
      </w:tr>
      <w:tr w:rsidR="00E5781C" w:rsidRPr="004F6DA6" w:rsidTr="004F6DA6">
        <w:trPr>
          <w:trHeight w:val="340"/>
        </w:trPr>
        <w:tc>
          <w:tcPr>
            <w:tcW w:w="2835" w:type="dxa"/>
            <w:tcBorders>
              <w:top w:val="nil"/>
              <w:left w:val="single" w:sz="4" w:space="0" w:color="auto"/>
              <w:right w:val="single" w:sz="4" w:space="0" w:color="auto"/>
            </w:tcBorders>
            <w:shd w:val="clear" w:color="auto" w:fill="auto"/>
            <w:vAlign w:val="center"/>
            <w:hideMark/>
          </w:tcPr>
          <w:p w:rsidR="00E5781C" w:rsidRPr="004F6DA6" w:rsidRDefault="00E5781C" w:rsidP="004F6DA6">
            <w:pPr>
              <w:bidi w:val="0"/>
              <w:rPr>
                <w:rFonts w:ascii="Arial" w:hAnsi="Arial" w:cs="Arial"/>
                <w:sz w:val="18"/>
                <w:szCs w:val="18"/>
                <w:rtl/>
              </w:rPr>
            </w:pPr>
            <w:r w:rsidRPr="004F6DA6">
              <w:rPr>
                <w:rFonts w:ascii="Arial" w:hAnsi="Arial" w:cs="Arial"/>
                <w:sz w:val="18"/>
                <w:szCs w:val="18"/>
              </w:rPr>
              <w:t>Refused</w:t>
            </w:r>
          </w:p>
        </w:tc>
        <w:tc>
          <w:tcPr>
            <w:tcW w:w="2803" w:type="dxa"/>
            <w:tcBorders>
              <w:top w:val="nil"/>
              <w:left w:val="single" w:sz="4" w:space="0" w:color="auto"/>
              <w:right w:val="single" w:sz="4" w:space="0" w:color="auto"/>
            </w:tcBorders>
            <w:shd w:val="clear" w:color="auto" w:fill="auto"/>
            <w:noWrap/>
            <w:vAlign w:val="center"/>
            <w:hideMark/>
          </w:tcPr>
          <w:p w:rsidR="00E5781C" w:rsidRPr="004F6DA6" w:rsidRDefault="00E5781C" w:rsidP="00151660">
            <w:pPr>
              <w:bidi w:val="0"/>
              <w:ind w:right="886"/>
              <w:jc w:val="right"/>
              <w:rPr>
                <w:rFonts w:ascii="Arial" w:hAnsi="Arial" w:cs="Arial"/>
                <w:sz w:val="18"/>
                <w:szCs w:val="18"/>
              </w:rPr>
            </w:pPr>
            <w:r w:rsidRPr="004F6DA6">
              <w:rPr>
                <w:rFonts w:ascii="Arial" w:hAnsi="Arial" w:cs="Arial"/>
                <w:sz w:val="18"/>
                <w:szCs w:val="18"/>
              </w:rPr>
              <w:t>1</w:t>
            </w:r>
          </w:p>
        </w:tc>
        <w:tc>
          <w:tcPr>
            <w:tcW w:w="2867" w:type="dxa"/>
            <w:tcBorders>
              <w:top w:val="nil"/>
              <w:left w:val="single" w:sz="4" w:space="0" w:color="auto"/>
              <w:right w:val="single" w:sz="4" w:space="0" w:color="auto"/>
            </w:tcBorders>
            <w:vAlign w:val="center"/>
          </w:tcPr>
          <w:p w:rsidR="00E5781C" w:rsidRPr="004F6DA6" w:rsidRDefault="00E5781C" w:rsidP="00151660">
            <w:pPr>
              <w:bidi w:val="0"/>
              <w:ind w:right="886"/>
              <w:jc w:val="right"/>
              <w:rPr>
                <w:rFonts w:ascii="Arial" w:hAnsi="Arial" w:cs="Arial"/>
                <w:sz w:val="18"/>
                <w:szCs w:val="18"/>
              </w:rPr>
            </w:pPr>
            <w:r w:rsidRPr="004F6DA6">
              <w:rPr>
                <w:rFonts w:ascii="Arial" w:hAnsi="Arial" w:cs="Arial"/>
                <w:sz w:val="18"/>
                <w:szCs w:val="18"/>
              </w:rPr>
              <w:t>0</w:t>
            </w:r>
          </w:p>
        </w:tc>
      </w:tr>
      <w:tr w:rsidR="00E5781C" w:rsidRPr="004F6DA6" w:rsidTr="004F6DA6">
        <w:trPr>
          <w:trHeight w:val="340"/>
        </w:trPr>
        <w:tc>
          <w:tcPr>
            <w:tcW w:w="2835" w:type="dxa"/>
            <w:tcBorders>
              <w:left w:val="single" w:sz="4" w:space="0" w:color="auto"/>
              <w:right w:val="single" w:sz="4" w:space="0" w:color="auto"/>
            </w:tcBorders>
            <w:shd w:val="clear" w:color="auto" w:fill="auto"/>
            <w:vAlign w:val="center"/>
            <w:hideMark/>
          </w:tcPr>
          <w:p w:rsidR="00E5781C" w:rsidRPr="004F6DA6" w:rsidRDefault="00E5781C" w:rsidP="004F6DA6">
            <w:pPr>
              <w:bidi w:val="0"/>
              <w:rPr>
                <w:rFonts w:ascii="Arial" w:hAnsi="Arial" w:cs="Arial"/>
                <w:sz w:val="18"/>
                <w:szCs w:val="18"/>
              </w:rPr>
            </w:pPr>
            <w:r w:rsidRPr="004F6DA6">
              <w:rPr>
                <w:rFonts w:ascii="Arial" w:hAnsi="Arial" w:cs="Arial"/>
                <w:sz w:val="18"/>
                <w:szCs w:val="18"/>
              </w:rPr>
              <w:t>Others</w:t>
            </w:r>
          </w:p>
        </w:tc>
        <w:tc>
          <w:tcPr>
            <w:tcW w:w="2803" w:type="dxa"/>
            <w:tcBorders>
              <w:left w:val="single" w:sz="4" w:space="0" w:color="auto"/>
              <w:right w:val="single" w:sz="4" w:space="0" w:color="auto"/>
            </w:tcBorders>
            <w:shd w:val="clear" w:color="auto" w:fill="auto"/>
            <w:noWrap/>
            <w:vAlign w:val="center"/>
            <w:hideMark/>
          </w:tcPr>
          <w:p w:rsidR="00E5781C" w:rsidRPr="004F6DA6" w:rsidRDefault="00E5781C" w:rsidP="00151660">
            <w:pPr>
              <w:bidi w:val="0"/>
              <w:ind w:right="886"/>
              <w:jc w:val="right"/>
              <w:rPr>
                <w:rFonts w:ascii="Arial" w:hAnsi="Arial" w:cs="Arial"/>
                <w:sz w:val="18"/>
                <w:szCs w:val="18"/>
              </w:rPr>
            </w:pPr>
            <w:r w:rsidRPr="004F6DA6">
              <w:rPr>
                <w:rFonts w:ascii="Arial" w:hAnsi="Arial" w:cs="Arial"/>
                <w:sz w:val="18"/>
                <w:szCs w:val="18"/>
              </w:rPr>
              <w:t>3</w:t>
            </w:r>
          </w:p>
        </w:tc>
        <w:tc>
          <w:tcPr>
            <w:tcW w:w="2867" w:type="dxa"/>
            <w:tcBorders>
              <w:left w:val="single" w:sz="4" w:space="0" w:color="auto"/>
              <w:right w:val="single" w:sz="4" w:space="0" w:color="auto"/>
            </w:tcBorders>
            <w:vAlign w:val="center"/>
          </w:tcPr>
          <w:p w:rsidR="00E5781C" w:rsidRPr="004F6DA6" w:rsidRDefault="00E5781C" w:rsidP="00151660">
            <w:pPr>
              <w:bidi w:val="0"/>
              <w:ind w:right="886"/>
              <w:jc w:val="right"/>
              <w:rPr>
                <w:rFonts w:ascii="Arial" w:hAnsi="Arial" w:cs="Arial"/>
                <w:sz w:val="18"/>
                <w:szCs w:val="18"/>
              </w:rPr>
            </w:pPr>
            <w:r w:rsidRPr="004F6DA6">
              <w:rPr>
                <w:rFonts w:ascii="Arial" w:hAnsi="Arial" w:cs="Arial"/>
                <w:sz w:val="18"/>
                <w:szCs w:val="18"/>
              </w:rPr>
              <w:t>100</w:t>
            </w:r>
          </w:p>
        </w:tc>
      </w:tr>
      <w:tr w:rsidR="00E5781C" w:rsidRPr="004F6DA6" w:rsidTr="004F6DA6">
        <w:trPr>
          <w:trHeight w:val="340"/>
        </w:trPr>
        <w:tc>
          <w:tcPr>
            <w:tcW w:w="2835" w:type="dxa"/>
            <w:tcBorders>
              <w:left w:val="single" w:sz="4" w:space="0" w:color="auto"/>
              <w:right w:val="single" w:sz="4" w:space="0" w:color="auto"/>
            </w:tcBorders>
            <w:shd w:val="clear" w:color="auto" w:fill="auto"/>
            <w:vAlign w:val="center"/>
            <w:hideMark/>
          </w:tcPr>
          <w:p w:rsidR="00E5781C" w:rsidRPr="004F6DA6" w:rsidRDefault="002F207D" w:rsidP="004F6DA6">
            <w:pPr>
              <w:bidi w:val="0"/>
              <w:rPr>
                <w:rFonts w:ascii="Arial" w:hAnsi="Arial" w:cs="Arial"/>
                <w:b/>
                <w:bCs/>
                <w:sz w:val="18"/>
                <w:szCs w:val="18"/>
                <w:rtl/>
              </w:rPr>
            </w:pPr>
            <w:r w:rsidRPr="004F6DA6">
              <w:rPr>
                <w:rFonts w:ascii="Arial" w:hAnsi="Arial" w:cs="Arial"/>
                <w:b/>
                <w:bCs/>
                <w:sz w:val="18"/>
                <w:szCs w:val="18"/>
              </w:rPr>
              <w:t>Total</w:t>
            </w:r>
          </w:p>
        </w:tc>
        <w:tc>
          <w:tcPr>
            <w:tcW w:w="2803" w:type="dxa"/>
            <w:tcBorders>
              <w:left w:val="single" w:sz="4" w:space="0" w:color="auto"/>
              <w:right w:val="single" w:sz="4" w:space="0" w:color="auto"/>
            </w:tcBorders>
            <w:shd w:val="clear" w:color="auto" w:fill="auto"/>
            <w:noWrap/>
            <w:vAlign w:val="center"/>
            <w:hideMark/>
          </w:tcPr>
          <w:p w:rsidR="00E5781C" w:rsidRPr="004F6DA6" w:rsidRDefault="00E5781C" w:rsidP="00151660">
            <w:pPr>
              <w:bidi w:val="0"/>
              <w:ind w:right="886"/>
              <w:jc w:val="right"/>
              <w:rPr>
                <w:rFonts w:ascii="Arial" w:hAnsi="Arial" w:cs="Arial"/>
                <w:b/>
                <w:bCs/>
                <w:sz w:val="18"/>
                <w:szCs w:val="18"/>
              </w:rPr>
            </w:pPr>
            <w:r w:rsidRPr="004F6DA6">
              <w:rPr>
                <w:rFonts w:ascii="Arial" w:hAnsi="Arial" w:cs="Arial"/>
                <w:b/>
                <w:bCs/>
                <w:sz w:val="18"/>
                <w:szCs w:val="18"/>
              </w:rPr>
              <w:t>248</w:t>
            </w:r>
          </w:p>
        </w:tc>
        <w:tc>
          <w:tcPr>
            <w:tcW w:w="2867" w:type="dxa"/>
            <w:tcBorders>
              <w:left w:val="single" w:sz="4" w:space="0" w:color="auto"/>
              <w:right w:val="single" w:sz="4" w:space="0" w:color="auto"/>
            </w:tcBorders>
            <w:vAlign w:val="center"/>
          </w:tcPr>
          <w:p w:rsidR="00E5781C" w:rsidRPr="004F6DA6" w:rsidRDefault="00E5781C" w:rsidP="00151660">
            <w:pPr>
              <w:bidi w:val="0"/>
              <w:ind w:right="886"/>
              <w:jc w:val="right"/>
              <w:rPr>
                <w:rFonts w:ascii="Arial" w:hAnsi="Arial" w:cs="Arial"/>
                <w:b/>
                <w:bCs/>
                <w:sz w:val="18"/>
                <w:szCs w:val="18"/>
              </w:rPr>
            </w:pPr>
            <w:r w:rsidRPr="004F6DA6">
              <w:rPr>
                <w:rFonts w:ascii="Arial" w:hAnsi="Arial" w:cs="Arial"/>
                <w:b/>
                <w:bCs/>
                <w:sz w:val="18"/>
                <w:szCs w:val="18"/>
              </w:rPr>
              <w:t>464</w:t>
            </w:r>
          </w:p>
        </w:tc>
      </w:tr>
      <w:tr w:rsidR="00E5781C" w:rsidRPr="004F6DA6" w:rsidTr="004F6DA6">
        <w:trPr>
          <w:trHeight w:val="340"/>
        </w:trPr>
        <w:tc>
          <w:tcPr>
            <w:tcW w:w="2835" w:type="dxa"/>
            <w:tcBorders>
              <w:left w:val="single" w:sz="4" w:space="0" w:color="auto"/>
              <w:right w:val="single" w:sz="4" w:space="0" w:color="auto"/>
            </w:tcBorders>
            <w:shd w:val="clear" w:color="auto" w:fill="auto"/>
            <w:vAlign w:val="center"/>
            <w:hideMark/>
          </w:tcPr>
          <w:p w:rsidR="00E5781C" w:rsidRPr="004F6DA6" w:rsidRDefault="00E5781C" w:rsidP="004F6DA6">
            <w:pPr>
              <w:bidi w:val="0"/>
              <w:rPr>
                <w:rFonts w:ascii="Arial" w:hAnsi="Arial" w:cs="Arial"/>
                <w:sz w:val="18"/>
                <w:szCs w:val="18"/>
              </w:rPr>
            </w:pPr>
            <w:r w:rsidRPr="004F6DA6">
              <w:rPr>
                <w:rFonts w:ascii="Arial" w:hAnsi="Arial" w:cs="Arial"/>
                <w:sz w:val="18"/>
                <w:szCs w:val="18"/>
              </w:rPr>
              <w:t>Response Rate</w:t>
            </w:r>
          </w:p>
        </w:tc>
        <w:tc>
          <w:tcPr>
            <w:tcW w:w="2803" w:type="dxa"/>
            <w:tcBorders>
              <w:left w:val="single" w:sz="4" w:space="0" w:color="auto"/>
              <w:right w:val="single" w:sz="4" w:space="0" w:color="auto"/>
            </w:tcBorders>
            <w:shd w:val="clear" w:color="auto" w:fill="auto"/>
            <w:noWrap/>
            <w:vAlign w:val="center"/>
            <w:hideMark/>
          </w:tcPr>
          <w:p w:rsidR="00E5781C" w:rsidRPr="004F6DA6" w:rsidRDefault="00E5781C" w:rsidP="00151660">
            <w:pPr>
              <w:bidi w:val="0"/>
              <w:ind w:right="886"/>
              <w:jc w:val="right"/>
              <w:rPr>
                <w:rFonts w:ascii="Arial" w:hAnsi="Arial" w:cs="Arial"/>
                <w:sz w:val="18"/>
                <w:szCs w:val="18"/>
                <w:rtl/>
              </w:rPr>
            </w:pPr>
            <w:r w:rsidRPr="004F6DA6">
              <w:rPr>
                <w:rFonts w:ascii="Arial" w:hAnsi="Arial" w:cs="Arial"/>
                <w:sz w:val="18"/>
                <w:szCs w:val="18"/>
              </w:rPr>
              <w:t>98.4%</w:t>
            </w:r>
          </w:p>
        </w:tc>
        <w:tc>
          <w:tcPr>
            <w:tcW w:w="2867" w:type="dxa"/>
            <w:tcBorders>
              <w:left w:val="single" w:sz="4" w:space="0" w:color="auto"/>
              <w:right w:val="single" w:sz="4" w:space="0" w:color="auto"/>
            </w:tcBorders>
            <w:vAlign w:val="center"/>
          </w:tcPr>
          <w:p w:rsidR="00E5781C" w:rsidRPr="004F6DA6" w:rsidRDefault="00E5781C" w:rsidP="00151660">
            <w:pPr>
              <w:bidi w:val="0"/>
              <w:ind w:right="886"/>
              <w:jc w:val="right"/>
              <w:rPr>
                <w:rFonts w:ascii="Arial" w:hAnsi="Arial" w:cs="Arial"/>
                <w:sz w:val="18"/>
                <w:szCs w:val="18"/>
              </w:rPr>
            </w:pPr>
            <w:r w:rsidRPr="004F6DA6">
              <w:rPr>
                <w:rFonts w:ascii="Arial" w:hAnsi="Arial" w:cs="Arial"/>
                <w:sz w:val="18"/>
                <w:szCs w:val="18"/>
              </w:rPr>
              <w:t>78.4%</w:t>
            </w:r>
          </w:p>
        </w:tc>
      </w:tr>
      <w:tr w:rsidR="00E5781C" w:rsidRPr="004F6DA6" w:rsidTr="004F6DA6">
        <w:trPr>
          <w:trHeight w:val="340"/>
        </w:trPr>
        <w:tc>
          <w:tcPr>
            <w:tcW w:w="2835" w:type="dxa"/>
            <w:tcBorders>
              <w:left w:val="single" w:sz="4" w:space="0" w:color="auto"/>
              <w:bottom w:val="single" w:sz="4" w:space="0" w:color="auto"/>
              <w:right w:val="single" w:sz="4" w:space="0" w:color="auto"/>
            </w:tcBorders>
            <w:shd w:val="clear" w:color="auto" w:fill="auto"/>
            <w:vAlign w:val="center"/>
            <w:hideMark/>
          </w:tcPr>
          <w:p w:rsidR="00E5781C" w:rsidRPr="004F6DA6" w:rsidRDefault="00E5781C" w:rsidP="004F6DA6">
            <w:pPr>
              <w:bidi w:val="0"/>
              <w:rPr>
                <w:rFonts w:ascii="Arial" w:hAnsi="Arial" w:cs="Arial"/>
                <w:sz w:val="18"/>
                <w:szCs w:val="18"/>
              </w:rPr>
            </w:pPr>
            <w:r w:rsidRPr="004F6DA6">
              <w:rPr>
                <w:rFonts w:ascii="Arial" w:hAnsi="Arial" w:cs="Arial"/>
                <w:sz w:val="18"/>
                <w:szCs w:val="18"/>
              </w:rPr>
              <w:t>Non-Response Rate</w:t>
            </w:r>
          </w:p>
        </w:tc>
        <w:tc>
          <w:tcPr>
            <w:tcW w:w="2803" w:type="dxa"/>
            <w:tcBorders>
              <w:left w:val="single" w:sz="4" w:space="0" w:color="auto"/>
              <w:bottom w:val="single" w:sz="4" w:space="0" w:color="auto"/>
              <w:right w:val="single" w:sz="4" w:space="0" w:color="auto"/>
            </w:tcBorders>
            <w:shd w:val="clear" w:color="auto" w:fill="auto"/>
            <w:noWrap/>
            <w:vAlign w:val="center"/>
            <w:hideMark/>
          </w:tcPr>
          <w:p w:rsidR="00E5781C" w:rsidRPr="004F6DA6" w:rsidRDefault="00E5781C" w:rsidP="00151660">
            <w:pPr>
              <w:bidi w:val="0"/>
              <w:ind w:right="886"/>
              <w:jc w:val="right"/>
              <w:rPr>
                <w:rFonts w:ascii="Arial" w:hAnsi="Arial" w:cs="Arial"/>
                <w:sz w:val="18"/>
                <w:szCs w:val="18"/>
              </w:rPr>
            </w:pPr>
            <w:r w:rsidRPr="004F6DA6">
              <w:rPr>
                <w:rFonts w:ascii="Arial" w:hAnsi="Arial" w:cs="Arial"/>
                <w:sz w:val="18"/>
                <w:szCs w:val="18"/>
              </w:rPr>
              <w:t>1.6%</w:t>
            </w:r>
          </w:p>
        </w:tc>
        <w:tc>
          <w:tcPr>
            <w:tcW w:w="2867" w:type="dxa"/>
            <w:tcBorders>
              <w:left w:val="single" w:sz="4" w:space="0" w:color="auto"/>
              <w:bottom w:val="single" w:sz="4" w:space="0" w:color="auto"/>
              <w:right w:val="single" w:sz="4" w:space="0" w:color="auto"/>
            </w:tcBorders>
            <w:vAlign w:val="center"/>
          </w:tcPr>
          <w:p w:rsidR="00E5781C" w:rsidRPr="004F6DA6" w:rsidRDefault="00E5781C" w:rsidP="00151660">
            <w:pPr>
              <w:bidi w:val="0"/>
              <w:ind w:right="886"/>
              <w:jc w:val="right"/>
              <w:rPr>
                <w:rFonts w:ascii="Arial" w:hAnsi="Arial" w:cs="Arial"/>
                <w:sz w:val="18"/>
                <w:szCs w:val="18"/>
              </w:rPr>
            </w:pPr>
            <w:r w:rsidRPr="004F6DA6">
              <w:rPr>
                <w:rFonts w:ascii="Arial" w:hAnsi="Arial" w:cs="Arial"/>
                <w:sz w:val="18"/>
                <w:szCs w:val="18"/>
              </w:rPr>
              <w:t>21.6%</w:t>
            </w:r>
          </w:p>
        </w:tc>
      </w:tr>
    </w:tbl>
    <w:p w:rsidR="00E5781C" w:rsidRPr="00151660" w:rsidRDefault="00E5781C" w:rsidP="00AC476D">
      <w:pPr>
        <w:bidi w:val="0"/>
        <w:rPr>
          <w:rFonts w:asciiTheme="majorBidi" w:hAnsiTheme="majorBidi" w:cstheme="majorBidi"/>
        </w:rPr>
      </w:pPr>
    </w:p>
    <w:bookmarkEnd w:id="0"/>
    <w:bookmarkEnd w:id="1"/>
    <w:bookmarkEnd w:id="2"/>
    <w:bookmarkEnd w:id="3"/>
    <w:p w:rsidR="000B5EC0" w:rsidRPr="00937E0C" w:rsidRDefault="000B5EC0" w:rsidP="000B5EC0">
      <w:pPr>
        <w:jc w:val="right"/>
        <w:rPr>
          <w:b/>
          <w:bCs/>
          <w:color w:val="000000" w:themeColor="text1"/>
          <w:rtl/>
        </w:rPr>
      </w:pPr>
      <w:r w:rsidRPr="00937E0C">
        <w:rPr>
          <w:b/>
          <w:bCs/>
          <w:color w:val="000000" w:themeColor="text1"/>
        </w:rPr>
        <w:t>4.2 Data</w:t>
      </w:r>
      <w:r w:rsidRPr="005818F2">
        <w:rPr>
          <w:rFonts w:cs="Simplified Arabic"/>
          <w:b/>
          <w:bCs/>
        </w:rPr>
        <w:t xml:space="preserve"> Comparison and Examination</w:t>
      </w:r>
    </w:p>
    <w:p w:rsidR="000B5EC0" w:rsidRDefault="000B5EC0" w:rsidP="000B5EC0">
      <w:pPr>
        <w:bidi w:val="0"/>
        <w:jc w:val="both"/>
      </w:pPr>
      <w:r w:rsidRPr="00BB4759">
        <w:t xml:space="preserve">This </w:t>
      </w:r>
      <w:r>
        <w:t>standard</w:t>
      </w:r>
      <w:r w:rsidRPr="00BB4759">
        <w:t xml:space="preserve"> is linked to the statistical product, since statistics must have comparative advantage with other sources and with other time periods. Many analyzes are based on comparison. </w:t>
      </w:r>
      <w:r>
        <w:t xml:space="preserve">The data of the survey of 2018 were compared to the </w:t>
      </w:r>
      <w:r w:rsidRPr="00904EA3">
        <w:rPr>
          <w:rFonts w:cs="Simplified Arabic"/>
          <w:color w:val="000000" w:themeColor="text1"/>
        </w:rPr>
        <w:t xml:space="preserve">previous </w:t>
      </w:r>
      <w:r>
        <w:rPr>
          <w:rFonts w:cs="Simplified Arabic"/>
          <w:color w:val="000000" w:themeColor="text1"/>
        </w:rPr>
        <w:t>survey</w:t>
      </w:r>
      <w:r>
        <w:t>s data. Moreover, inconsistency between questions and the internal inconsistency of the data were examined as part of the review of logic and completion of the data.</w:t>
      </w:r>
    </w:p>
    <w:p w:rsidR="00E5781C" w:rsidRPr="00AC476D" w:rsidRDefault="00E5781C" w:rsidP="000B5EC0">
      <w:pPr>
        <w:bidi w:val="0"/>
        <w:ind w:left="-1" w:right="894"/>
        <w:jc w:val="both"/>
        <w:rPr>
          <w:rFonts w:asciiTheme="majorBidi" w:hAnsiTheme="majorBidi" w:cstheme="majorBidi"/>
          <w:b/>
          <w:bCs/>
          <w:rtl/>
        </w:rPr>
      </w:pPr>
    </w:p>
    <w:sectPr w:rsidR="00E5781C" w:rsidRPr="00AC476D" w:rsidSect="005E66AA">
      <w:headerReference w:type="default" r:id="rId21"/>
      <w:footerReference w:type="default" r:id="rId22"/>
      <w:pgSz w:w="11909" w:h="16834" w:code="9"/>
      <w:pgMar w:top="1418" w:right="1418" w:bottom="1418" w:left="1418" w:header="709" w:footer="709"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D95" w:rsidRDefault="00FD7D95">
      <w:pPr>
        <w:rPr>
          <w:lang w:eastAsia="en-US"/>
        </w:rPr>
      </w:pPr>
      <w:r>
        <w:separator/>
      </w:r>
    </w:p>
  </w:endnote>
  <w:endnote w:type="continuationSeparator" w:id="0">
    <w:p w:rsidR="00FD7D95" w:rsidRDefault="00FD7D95">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972864"/>
      <w:docPartObj>
        <w:docPartGallery w:val="Page Numbers (Bottom of Page)"/>
        <w:docPartUnique/>
      </w:docPartObj>
    </w:sdtPr>
    <w:sdtContent>
      <w:p w:rsidR="00FD7D95" w:rsidRDefault="00FD7D95" w:rsidP="00AC265D">
        <w:pPr>
          <w:pStyle w:val="Footer"/>
          <w:tabs>
            <w:tab w:val="left" w:pos="4318"/>
            <w:tab w:val="center" w:pos="4536"/>
          </w:tabs>
        </w:pPr>
        <w:r>
          <w:rPr>
            <w:rtl/>
          </w:rPr>
          <w:tab/>
        </w:r>
        <w:r>
          <w:rPr>
            <w:rtl/>
          </w:rPr>
          <w:tab/>
        </w:r>
        <w:r>
          <w:t>]</w:t>
        </w:r>
        <w:r>
          <w:rPr>
            <w:rtl/>
          </w:rPr>
          <w:tab/>
        </w:r>
        <w:fldSimple w:instr=" PAGE   \* MERGEFORMAT ">
          <w:r w:rsidR="007C1446">
            <w:rPr>
              <w:noProof/>
              <w:rtl/>
            </w:rPr>
            <w:t>24</w:t>
          </w:r>
        </w:fldSimple>
        <w:r>
          <w:t>[</w:t>
        </w:r>
      </w:p>
    </w:sdtContent>
  </w:sdt>
  <w:p w:rsidR="00FD7D95" w:rsidRDefault="00FD7D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D95" w:rsidRDefault="00FD7D95">
      <w:pPr>
        <w:rPr>
          <w:lang w:eastAsia="en-US"/>
        </w:rPr>
      </w:pPr>
      <w:r>
        <w:separator/>
      </w:r>
    </w:p>
  </w:footnote>
  <w:footnote w:type="continuationSeparator" w:id="0">
    <w:p w:rsidR="00FD7D95" w:rsidRDefault="00FD7D95">
      <w:pPr>
        <w:rPr>
          <w:lang w:eastAsia="en-US"/>
        </w:rPr>
      </w:pPr>
      <w:r>
        <w:continuationSeparator/>
      </w:r>
    </w:p>
  </w:footnote>
  <w:footnote w:id="1">
    <w:p w:rsidR="00FD7D95" w:rsidRDefault="00FD7D95">
      <w:pPr>
        <w:pStyle w:val="FootnoteText"/>
      </w:pPr>
      <w:r>
        <w:rPr>
          <w:rStyle w:val="FootnoteReference"/>
        </w:rPr>
        <w:footnoteRef/>
      </w:r>
      <w:r>
        <w:t xml:space="preserve"> Included fully knowledge and partially knowledge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D95" w:rsidRPr="00D556B8" w:rsidRDefault="00FD7D95" w:rsidP="00743E43">
    <w:pPr>
      <w:bidi w:val="0"/>
      <w:rPr>
        <w:rFonts w:ascii="Arial" w:hAnsi="Arial" w:cs="Arial"/>
        <w:sz w:val="16"/>
        <w:szCs w:val="16"/>
        <w:rtl/>
      </w:rPr>
    </w:pPr>
    <w:r w:rsidRPr="00D556B8">
      <w:rPr>
        <w:rFonts w:ascii="Arial" w:hAnsi="Arial" w:cs="Arial"/>
        <w:sz w:val="16"/>
        <w:szCs w:val="16"/>
      </w:rPr>
      <w:t xml:space="preserve">PCBS: Rule of Law and Access to Justice Survey, 2018 </w:t>
    </w:r>
  </w:p>
  <w:p w:rsidR="00FD7D95" w:rsidRDefault="00FD7D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E19E9"/>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
    <w:nsid w:val="02D009D4"/>
    <w:multiLevelType w:val="hybridMultilevel"/>
    <w:tmpl w:val="98768E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E65E3500"/>
    <w:lvl w:ilvl="0" w:tplc="9EB61A3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927613F"/>
    <w:multiLevelType w:val="hybridMultilevel"/>
    <w:tmpl w:val="F3605FC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4EF44A5"/>
    <w:multiLevelType w:val="multilevel"/>
    <w:tmpl w:val="437C7900"/>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5981552"/>
    <w:multiLevelType w:val="hybridMultilevel"/>
    <w:tmpl w:val="5D7499FE"/>
    <w:lvl w:ilvl="0" w:tplc="BAAE3C72">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9">
    <w:nsid w:val="18D435E8"/>
    <w:multiLevelType w:val="multilevel"/>
    <w:tmpl w:val="A5089B5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8D6B23"/>
    <w:multiLevelType w:val="hybridMultilevel"/>
    <w:tmpl w:val="F9280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ADE6A00"/>
    <w:multiLevelType w:val="hybridMultilevel"/>
    <w:tmpl w:val="A77E0012"/>
    <w:lvl w:ilvl="0" w:tplc="C3F0816A">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3">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4">
    <w:nsid w:val="1FA94380"/>
    <w:multiLevelType w:val="hybridMultilevel"/>
    <w:tmpl w:val="2076CBFE"/>
    <w:lvl w:ilvl="0" w:tplc="654EF11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047738"/>
    <w:multiLevelType w:val="hybridMultilevel"/>
    <w:tmpl w:val="1BF280DC"/>
    <w:lvl w:ilvl="0" w:tplc="424CE836">
      <w:numFmt w:val="bullet"/>
      <w:lvlText w:val=""/>
      <w:lvlJc w:val="left"/>
      <w:pPr>
        <w:ind w:left="430" w:hanging="360"/>
      </w:pPr>
      <w:rPr>
        <w:rFonts w:ascii="Symbol" w:eastAsia="Times New Roman" w:hAnsi="Symbol" w:cs="Simplified Arabic"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16">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57364DE"/>
    <w:multiLevelType w:val="hybridMultilevel"/>
    <w:tmpl w:val="0A606342"/>
    <w:lvl w:ilvl="0" w:tplc="FCC0F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9427CA"/>
    <w:multiLevelType w:val="multilevel"/>
    <w:tmpl w:val="3EFE237C"/>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0B42DB"/>
    <w:multiLevelType w:val="multilevel"/>
    <w:tmpl w:val="07826438"/>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1004" w:hanging="720"/>
      </w:pPr>
      <w:rPr>
        <w:rFonts w:ascii="Simplified Arabic" w:hAnsi="Simplified Arabic" w:cs="Simplified Arabic"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D554F00"/>
    <w:multiLevelType w:val="multilevel"/>
    <w:tmpl w:val="9E58FC96"/>
    <w:lvl w:ilvl="0">
      <w:start w:val="1"/>
      <w:numFmt w:val="decimal"/>
      <w:lvlText w:val="%1."/>
      <w:lvlJc w:val="left"/>
      <w:pPr>
        <w:tabs>
          <w:tab w:val="num" w:pos="644"/>
        </w:tabs>
        <w:ind w:left="644" w:hanging="360"/>
      </w:pPr>
    </w:lvl>
    <w:lvl w:ilvl="1">
      <w:start w:val="5"/>
      <w:numFmt w:val="decimal"/>
      <w:isLgl/>
      <w:lvlText w:val="%1.%2"/>
      <w:lvlJc w:val="left"/>
      <w:pPr>
        <w:tabs>
          <w:tab w:val="num" w:pos="659"/>
        </w:tabs>
        <w:ind w:left="659" w:hanging="375"/>
      </w:pPr>
      <w:rPr>
        <w:rFonts w:hint="cs"/>
      </w:rPr>
    </w:lvl>
    <w:lvl w:ilvl="2">
      <w:start w:val="1"/>
      <w:numFmt w:val="decimal"/>
      <w:isLgl/>
      <w:lvlText w:val="%1.%2.%3"/>
      <w:lvlJc w:val="left"/>
      <w:pPr>
        <w:tabs>
          <w:tab w:val="num" w:pos="1004"/>
        </w:tabs>
        <w:ind w:left="1004" w:hanging="720"/>
      </w:pPr>
      <w:rPr>
        <w:rFonts w:hint="cs"/>
      </w:rPr>
    </w:lvl>
    <w:lvl w:ilvl="3">
      <w:start w:val="1"/>
      <w:numFmt w:val="decimal"/>
      <w:isLgl/>
      <w:lvlText w:val="%1.%2.%3.%4"/>
      <w:lvlJc w:val="left"/>
      <w:pPr>
        <w:tabs>
          <w:tab w:val="num" w:pos="1004"/>
        </w:tabs>
        <w:ind w:left="1004" w:hanging="720"/>
      </w:pPr>
      <w:rPr>
        <w:rFonts w:hint="cs"/>
      </w:rPr>
    </w:lvl>
    <w:lvl w:ilvl="4">
      <w:start w:val="1"/>
      <w:numFmt w:val="decimal"/>
      <w:isLgl/>
      <w:lvlText w:val="%1.%2.%3.%4.%5"/>
      <w:lvlJc w:val="left"/>
      <w:pPr>
        <w:tabs>
          <w:tab w:val="num" w:pos="1364"/>
        </w:tabs>
        <w:ind w:left="1364" w:hanging="1080"/>
      </w:pPr>
      <w:rPr>
        <w:rFonts w:hint="cs"/>
      </w:rPr>
    </w:lvl>
    <w:lvl w:ilvl="5">
      <w:start w:val="1"/>
      <w:numFmt w:val="decimal"/>
      <w:isLgl/>
      <w:lvlText w:val="%1.%2.%3.%4.%5.%6"/>
      <w:lvlJc w:val="left"/>
      <w:pPr>
        <w:tabs>
          <w:tab w:val="num" w:pos="1724"/>
        </w:tabs>
        <w:ind w:left="1724" w:hanging="1440"/>
      </w:pPr>
      <w:rPr>
        <w:rFonts w:hint="cs"/>
      </w:rPr>
    </w:lvl>
    <w:lvl w:ilvl="6">
      <w:start w:val="1"/>
      <w:numFmt w:val="decimal"/>
      <w:isLgl/>
      <w:lvlText w:val="%1.%2.%3.%4.%5.%6.%7"/>
      <w:lvlJc w:val="left"/>
      <w:pPr>
        <w:tabs>
          <w:tab w:val="num" w:pos="1724"/>
        </w:tabs>
        <w:ind w:left="1724" w:hanging="1440"/>
      </w:pPr>
      <w:rPr>
        <w:rFonts w:hint="cs"/>
      </w:rPr>
    </w:lvl>
    <w:lvl w:ilvl="7">
      <w:start w:val="1"/>
      <w:numFmt w:val="decimal"/>
      <w:isLgl/>
      <w:lvlText w:val="%1.%2.%3.%4.%5.%6.%7.%8"/>
      <w:lvlJc w:val="left"/>
      <w:pPr>
        <w:tabs>
          <w:tab w:val="num" w:pos="2084"/>
        </w:tabs>
        <w:ind w:left="2084" w:hanging="1800"/>
      </w:pPr>
      <w:rPr>
        <w:rFonts w:hint="cs"/>
      </w:rPr>
    </w:lvl>
    <w:lvl w:ilvl="8">
      <w:start w:val="1"/>
      <w:numFmt w:val="decimal"/>
      <w:isLgl/>
      <w:lvlText w:val="%1.%2.%3.%4.%5.%6.%7.%8.%9"/>
      <w:lvlJc w:val="left"/>
      <w:pPr>
        <w:tabs>
          <w:tab w:val="num" w:pos="2084"/>
        </w:tabs>
        <w:ind w:left="2084" w:hanging="1800"/>
      </w:pPr>
      <w:rPr>
        <w:rFonts w:hint="cs"/>
      </w:rPr>
    </w:lvl>
  </w:abstractNum>
  <w:abstractNum w:abstractNumId="22">
    <w:nsid w:val="332F5654"/>
    <w:multiLevelType w:val="multilevel"/>
    <w:tmpl w:val="312AA5B8"/>
    <w:lvl w:ilvl="0">
      <w:start w:val="1"/>
      <w:numFmt w:val="bullet"/>
      <w:lvlText w:val=""/>
      <w:lvlJc w:val="left"/>
      <w:pPr>
        <w:ind w:left="360" w:hanging="360"/>
      </w:pPr>
      <w:rPr>
        <w:rFonts w:ascii="Symbol" w:hAnsi="Symbol"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5E72B66"/>
    <w:multiLevelType w:val="hybridMultilevel"/>
    <w:tmpl w:val="229C205C"/>
    <w:lvl w:ilvl="0" w:tplc="D2F0E420">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24">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5">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6">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7">
    <w:nsid w:val="3E8838EC"/>
    <w:multiLevelType w:val="hybridMultilevel"/>
    <w:tmpl w:val="29D898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30C6234"/>
    <w:multiLevelType w:val="hybridMultilevel"/>
    <w:tmpl w:val="62B400B6"/>
    <w:lvl w:ilvl="0" w:tplc="0409000F">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9">
    <w:nsid w:val="43887E6E"/>
    <w:multiLevelType w:val="hybridMultilevel"/>
    <w:tmpl w:val="1BFCDAA6"/>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0">
    <w:nsid w:val="447446B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31">
    <w:nsid w:val="49D95D1F"/>
    <w:multiLevelType w:val="hybridMultilevel"/>
    <w:tmpl w:val="B3B2480E"/>
    <w:lvl w:ilvl="0" w:tplc="D14A8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0D0D12"/>
    <w:multiLevelType w:val="hybridMultilevel"/>
    <w:tmpl w:val="390290F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3">
    <w:nsid w:val="4D2C4510"/>
    <w:multiLevelType w:val="multilevel"/>
    <w:tmpl w:val="7F08F418"/>
    <w:lvl w:ilvl="0">
      <w:start w:val="1"/>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1085B94"/>
    <w:multiLevelType w:val="hybridMultilevel"/>
    <w:tmpl w:val="62E8D29A"/>
    <w:lvl w:ilvl="0" w:tplc="E3CA782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5C9B78CA"/>
    <w:multiLevelType w:val="hybridMultilevel"/>
    <w:tmpl w:val="465A42A6"/>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667" w:hanging="360"/>
      </w:pPr>
    </w:lvl>
    <w:lvl w:ilvl="2" w:tplc="0409001B" w:tentative="1">
      <w:start w:val="1"/>
      <w:numFmt w:val="lowerRoman"/>
      <w:lvlText w:val="%3."/>
      <w:lvlJc w:val="right"/>
      <w:pPr>
        <w:ind w:left="1387" w:hanging="180"/>
      </w:pPr>
    </w:lvl>
    <w:lvl w:ilvl="3" w:tplc="0409000F" w:tentative="1">
      <w:start w:val="1"/>
      <w:numFmt w:val="decimal"/>
      <w:lvlText w:val="%4."/>
      <w:lvlJc w:val="left"/>
      <w:pPr>
        <w:ind w:left="2107" w:hanging="360"/>
      </w:pPr>
    </w:lvl>
    <w:lvl w:ilvl="4" w:tplc="04090019" w:tentative="1">
      <w:start w:val="1"/>
      <w:numFmt w:val="lowerLetter"/>
      <w:lvlText w:val="%5."/>
      <w:lvlJc w:val="left"/>
      <w:pPr>
        <w:ind w:left="2827" w:hanging="360"/>
      </w:pPr>
    </w:lvl>
    <w:lvl w:ilvl="5" w:tplc="0409001B" w:tentative="1">
      <w:start w:val="1"/>
      <w:numFmt w:val="lowerRoman"/>
      <w:lvlText w:val="%6."/>
      <w:lvlJc w:val="right"/>
      <w:pPr>
        <w:ind w:left="3547" w:hanging="180"/>
      </w:pPr>
    </w:lvl>
    <w:lvl w:ilvl="6" w:tplc="0409000F" w:tentative="1">
      <w:start w:val="1"/>
      <w:numFmt w:val="decimal"/>
      <w:lvlText w:val="%7."/>
      <w:lvlJc w:val="left"/>
      <w:pPr>
        <w:ind w:left="4267" w:hanging="360"/>
      </w:pPr>
    </w:lvl>
    <w:lvl w:ilvl="7" w:tplc="04090019" w:tentative="1">
      <w:start w:val="1"/>
      <w:numFmt w:val="lowerLetter"/>
      <w:lvlText w:val="%8."/>
      <w:lvlJc w:val="left"/>
      <w:pPr>
        <w:ind w:left="4987" w:hanging="360"/>
      </w:pPr>
    </w:lvl>
    <w:lvl w:ilvl="8" w:tplc="0409001B" w:tentative="1">
      <w:start w:val="1"/>
      <w:numFmt w:val="lowerRoman"/>
      <w:lvlText w:val="%9."/>
      <w:lvlJc w:val="right"/>
      <w:pPr>
        <w:ind w:left="5707" w:hanging="180"/>
      </w:pPr>
    </w:lvl>
  </w:abstractNum>
  <w:abstractNum w:abstractNumId="37">
    <w:nsid w:val="5FA21C22"/>
    <w:multiLevelType w:val="hybridMultilevel"/>
    <w:tmpl w:val="05306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9">
    <w:nsid w:val="6B3C37C6"/>
    <w:multiLevelType w:val="hybridMultilevel"/>
    <w:tmpl w:val="C330B3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391BEF"/>
    <w:multiLevelType w:val="multilevel"/>
    <w:tmpl w:val="A5B235D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7C9D6F88"/>
    <w:multiLevelType w:val="hybridMultilevel"/>
    <w:tmpl w:val="229C205C"/>
    <w:lvl w:ilvl="0" w:tplc="D2F0E420">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7F2B75BE"/>
    <w:multiLevelType w:val="hybridMultilevel"/>
    <w:tmpl w:val="8D2AE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4"/>
  </w:num>
  <w:num w:numId="6">
    <w:abstractNumId w:val="22"/>
  </w:num>
  <w:num w:numId="7">
    <w:abstractNumId w:val="25"/>
  </w:num>
  <w:num w:numId="8">
    <w:abstractNumId w:val="4"/>
  </w:num>
  <w:num w:numId="9">
    <w:abstractNumId w:val="16"/>
  </w:num>
  <w:num w:numId="10">
    <w:abstractNumId w:val="12"/>
  </w:num>
  <w:num w:numId="11">
    <w:abstractNumId w:val="19"/>
  </w:num>
  <w:num w:numId="12">
    <w:abstractNumId w:val="2"/>
  </w:num>
  <w:num w:numId="13">
    <w:abstractNumId w:val="3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39"/>
  </w:num>
  <w:num w:numId="17">
    <w:abstractNumId w:val="0"/>
  </w:num>
  <w:num w:numId="18">
    <w:abstractNumId w:val="21"/>
  </w:num>
  <w:num w:numId="19">
    <w:abstractNumId w:val="13"/>
  </w:num>
  <w:num w:numId="20">
    <w:abstractNumId w:val="26"/>
  </w:num>
  <w:num w:numId="21">
    <w:abstractNumId w:val="7"/>
  </w:num>
  <w:num w:numId="22">
    <w:abstractNumId w:val="42"/>
  </w:num>
  <w:num w:numId="23">
    <w:abstractNumId w:val="34"/>
  </w:num>
  <w:num w:numId="24">
    <w:abstractNumId w:val="23"/>
  </w:num>
  <w:num w:numId="25">
    <w:abstractNumId w:val="3"/>
  </w:num>
  <w:num w:numId="26">
    <w:abstractNumId w:val="35"/>
  </w:num>
  <w:num w:numId="27">
    <w:abstractNumId w:val="18"/>
  </w:num>
  <w:num w:numId="28">
    <w:abstractNumId w:val="41"/>
  </w:num>
  <w:num w:numId="29">
    <w:abstractNumId w:val="8"/>
  </w:num>
  <w:num w:numId="30">
    <w:abstractNumId w:val="28"/>
  </w:num>
  <w:num w:numId="31">
    <w:abstractNumId w:val="32"/>
  </w:num>
  <w:num w:numId="32">
    <w:abstractNumId w:val="33"/>
  </w:num>
  <w:num w:numId="33">
    <w:abstractNumId w:val="17"/>
  </w:num>
  <w:num w:numId="34">
    <w:abstractNumId w:val="31"/>
  </w:num>
  <w:num w:numId="35">
    <w:abstractNumId w:val="27"/>
  </w:num>
  <w:num w:numId="36">
    <w:abstractNumId w:val="43"/>
  </w:num>
  <w:num w:numId="37">
    <w:abstractNumId w:val="10"/>
  </w:num>
  <w:num w:numId="38">
    <w:abstractNumId w:val="1"/>
  </w:num>
  <w:num w:numId="39">
    <w:abstractNumId w:val="36"/>
  </w:num>
  <w:num w:numId="40">
    <w:abstractNumId w:val="37"/>
  </w:num>
  <w:num w:numId="41">
    <w:abstractNumId w:val="15"/>
  </w:num>
  <w:num w:numId="42">
    <w:abstractNumId w:val="14"/>
  </w:num>
  <w:num w:numId="43">
    <w:abstractNumId w:val="30"/>
  </w:num>
  <w:num w:numId="44">
    <w:abstractNumId w:val="1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29697"/>
  </w:hdrShapeDefaults>
  <w:footnotePr>
    <w:footnote w:id="-1"/>
    <w:footnote w:id="0"/>
  </w:footnotePr>
  <w:endnotePr>
    <w:endnote w:id="-1"/>
    <w:endnote w:id="0"/>
  </w:endnotePr>
  <w:compat/>
  <w:rsids>
    <w:rsidRoot w:val="002201D2"/>
    <w:rsid w:val="00000439"/>
    <w:rsid w:val="00000A80"/>
    <w:rsid w:val="00001A97"/>
    <w:rsid w:val="00001C8D"/>
    <w:rsid w:val="000020B6"/>
    <w:rsid w:val="000023A0"/>
    <w:rsid w:val="0000311F"/>
    <w:rsid w:val="00003ED8"/>
    <w:rsid w:val="00003F5C"/>
    <w:rsid w:val="00005412"/>
    <w:rsid w:val="00005860"/>
    <w:rsid w:val="0000727D"/>
    <w:rsid w:val="00007516"/>
    <w:rsid w:val="000124AB"/>
    <w:rsid w:val="00012647"/>
    <w:rsid w:val="0001387D"/>
    <w:rsid w:val="00013996"/>
    <w:rsid w:val="00013A98"/>
    <w:rsid w:val="000152B4"/>
    <w:rsid w:val="00015943"/>
    <w:rsid w:val="000159AC"/>
    <w:rsid w:val="00015CD5"/>
    <w:rsid w:val="00015E56"/>
    <w:rsid w:val="00015F5B"/>
    <w:rsid w:val="00016BA0"/>
    <w:rsid w:val="000173F9"/>
    <w:rsid w:val="0001760E"/>
    <w:rsid w:val="000203D6"/>
    <w:rsid w:val="000206D4"/>
    <w:rsid w:val="00020A3D"/>
    <w:rsid w:val="00020C24"/>
    <w:rsid w:val="000214F6"/>
    <w:rsid w:val="00021868"/>
    <w:rsid w:val="00021AAD"/>
    <w:rsid w:val="00022B48"/>
    <w:rsid w:val="00023723"/>
    <w:rsid w:val="00023D43"/>
    <w:rsid w:val="000242E8"/>
    <w:rsid w:val="00024443"/>
    <w:rsid w:val="00024A71"/>
    <w:rsid w:val="00024D5F"/>
    <w:rsid w:val="000253DA"/>
    <w:rsid w:val="00026148"/>
    <w:rsid w:val="0002649D"/>
    <w:rsid w:val="00030218"/>
    <w:rsid w:val="00030879"/>
    <w:rsid w:val="00031E28"/>
    <w:rsid w:val="0003281A"/>
    <w:rsid w:val="00032A32"/>
    <w:rsid w:val="00033038"/>
    <w:rsid w:val="00033FA7"/>
    <w:rsid w:val="000346D3"/>
    <w:rsid w:val="0003502D"/>
    <w:rsid w:val="00035AE0"/>
    <w:rsid w:val="000373CA"/>
    <w:rsid w:val="00037886"/>
    <w:rsid w:val="00037B94"/>
    <w:rsid w:val="00037CE2"/>
    <w:rsid w:val="00041DC9"/>
    <w:rsid w:val="00041E86"/>
    <w:rsid w:val="0004225D"/>
    <w:rsid w:val="000437D4"/>
    <w:rsid w:val="000441AD"/>
    <w:rsid w:val="000450AE"/>
    <w:rsid w:val="000454A4"/>
    <w:rsid w:val="00045FD3"/>
    <w:rsid w:val="00046498"/>
    <w:rsid w:val="000470C4"/>
    <w:rsid w:val="000476F5"/>
    <w:rsid w:val="00047C26"/>
    <w:rsid w:val="00050C3F"/>
    <w:rsid w:val="000514A8"/>
    <w:rsid w:val="00051547"/>
    <w:rsid w:val="00051B31"/>
    <w:rsid w:val="00051D9C"/>
    <w:rsid w:val="00052788"/>
    <w:rsid w:val="00053475"/>
    <w:rsid w:val="00053F5D"/>
    <w:rsid w:val="0005420C"/>
    <w:rsid w:val="0005523C"/>
    <w:rsid w:val="000557FB"/>
    <w:rsid w:val="00056E77"/>
    <w:rsid w:val="000576DB"/>
    <w:rsid w:val="000606D6"/>
    <w:rsid w:val="00061036"/>
    <w:rsid w:val="0006150D"/>
    <w:rsid w:val="000615B5"/>
    <w:rsid w:val="000618B2"/>
    <w:rsid w:val="00062714"/>
    <w:rsid w:val="00062F16"/>
    <w:rsid w:val="00063B1F"/>
    <w:rsid w:val="000640D8"/>
    <w:rsid w:val="00064ED3"/>
    <w:rsid w:val="0006531E"/>
    <w:rsid w:val="0006665F"/>
    <w:rsid w:val="00067CCF"/>
    <w:rsid w:val="000713FB"/>
    <w:rsid w:val="00073B4E"/>
    <w:rsid w:val="00073EA8"/>
    <w:rsid w:val="000767E5"/>
    <w:rsid w:val="00076F0C"/>
    <w:rsid w:val="00080584"/>
    <w:rsid w:val="0008080F"/>
    <w:rsid w:val="0008101F"/>
    <w:rsid w:val="00082CA4"/>
    <w:rsid w:val="000840E1"/>
    <w:rsid w:val="0008446A"/>
    <w:rsid w:val="00085A9F"/>
    <w:rsid w:val="00085E23"/>
    <w:rsid w:val="000903C7"/>
    <w:rsid w:val="000907B6"/>
    <w:rsid w:val="0009103D"/>
    <w:rsid w:val="0009105C"/>
    <w:rsid w:val="000912EE"/>
    <w:rsid w:val="000919D5"/>
    <w:rsid w:val="00092420"/>
    <w:rsid w:val="00092692"/>
    <w:rsid w:val="000926D5"/>
    <w:rsid w:val="0009365F"/>
    <w:rsid w:val="0009658A"/>
    <w:rsid w:val="00096BF0"/>
    <w:rsid w:val="000A0BE4"/>
    <w:rsid w:val="000A0BF3"/>
    <w:rsid w:val="000A14ED"/>
    <w:rsid w:val="000A196B"/>
    <w:rsid w:val="000A1C8C"/>
    <w:rsid w:val="000A1D0D"/>
    <w:rsid w:val="000A1EF4"/>
    <w:rsid w:val="000A21BD"/>
    <w:rsid w:val="000A22E2"/>
    <w:rsid w:val="000A2680"/>
    <w:rsid w:val="000A32E6"/>
    <w:rsid w:val="000A42DF"/>
    <w:rsid w:val="000A46A1"/>
    <w:rsid w:val="000A52CE"/>
    <w:rsid w:val="000A5AA2"/>
    <w:rsid w:val="000A5BDE"/>
    <w:rsid w:val="000A61DA"/>
    <w:rsid w:val="000A630C"/>
    <w:rsid w:val="000A6331"/>
    <w:rsid w:val="000A6ACE"/>
    <w:rsid w:val="000A73DA"/>
    <w:rsid w:val="000B0F4A"/>
    <w:rsid w:val="000B2060"/>
    <w:rsid w:val="000B2497"/>
    <w:rsid w:val="000B3108"/>
    <w:rsid w:val="000B3A91"/>
    <w:rsid w:val="000B481C"/>
    <w:rsid w:val="000B4CF4"/>
    <w:rsid w:val="000B50CE"/>
    <w:rsid w:val="000B5425"/>
    <w:rsid w:val="000B5EC0"/>
    <w:rsid w:val="000B6804"/>
    <w:rsid w:val="000B6939"/>
    <w:rsid w:val="000C18D7"/>
    <w:rsid w:val="000C1E77"/>
    <w:rsid w:val="000C1FC6"/>
    <w:rsid w:val="000C287A"/>
    <w:rsid w:val="000C3413"/>
    <w:rsid w:val="000C3BD7"/>
    <w:rsid w:val="000C4475"/>
    <w:rsid w:val="000C4563"/>
    <w:rsid w:val="000C47C8"/>
    <w:rsid w:val="000C4931"/>
    <w:rsid w:val="000C4A09"/>
    <w:rsid w:val="000C4D97"/>
    <w:rsid w:val="000C5044"/>
    <w:rsid w:val="000C58AA"/>
    <w:rsid w:val="000C642E"/>
    <w:rsid w:val="000C65F9"/>
    <w:rsid w:val="000C7C2A"/>
    <w:rsid w:val="000C7D9F"/>
    <w:rsid w:val="000D0013"/>
    <w:rsid w:val="000D120B"/>
    <w:rsid w:val="000D1CF3"/>
    <w:rsid w:val="000D2035"/>
    <w:rsid w:val="000D2751"/>
    <w:rsid w:val="000D4178"/>
    <w:rsid w:val="000D43F4"/>
    <w:rsid w:val="000D513E"/>
    <w:rsid w:val="000D5DDB"/>
    <w:rsid w:val="000D67AB"/>
    <w:rsid w:val="000E0F88"/>
    <w:rsid w:val="000E2F47"/>
    <w:rsid w:val="000E34C2"/>
    <w:rsid w:val="000E3C34"/>
    <w:rsid w:val="000E3E7B"/>
    <w:rsid w:val="000E43B4"/>
    <w:rsid w:val="000E4651"/>
    <w:rsid w:val="000E49A4"/>
    <w:rsid w:val="000E49F8"/>
    <w:rsid w:val="000E5F15"/>
    <w:rsid w:val="000E6BFE"/>
    <w:rsid w:val="000F11A7"/>
    <w:rsid w:val="000F1BFE"/>
    <w:rsid w:val="000F1EC5"/>
    <w:rsid w:val="000F1F81"/>
    <w:rsid w:val="000F5F6A"/>
    <w:rsid w:val="000F6A8E"/>
    <w:rsid w:val="000F7A0A"/>
    <w:rsid w:val="000F7B9F"/>
    <w:rsid w:val="000F7D3A"/>
    <w:rsid w:val="000F7DC0"/>
    <w:rsid w:val="001006D3"/>
    <w:rsid w:val="0010195D"/>
    <w:rsid w:val="00101FC4"/>
    <w:rsid w:val="0010294E"/>
    <w:rsid w:val="00103320"/>
    <w:rsid w:val="0010471D"/>
    <w:rsid w:val="00104976"/>
    <w:rsid w:val="00105468"/>
    <w:rsid w:val="001059C6"/>
    <w:rsid w:val="00105F50"/>
    <w:rsid w:val="001067DD"/>
    <w:rsid w:val="001078C2"/>
    <w:rsid w:val="00107C55"/>
    <w:rsid w:val="001110F8"/>
    <w:rsid w:val="001112A2"/>
    <w:rsid w:val="001123EF"/>
    <w:rsid w:val="0011262D"/>
    <w:rsid w:val="00113829"/>
    <w:rsid w:val="0011383C"/>
    <w:rsid w:val="00113C5C"/>
    <w:rsid w:val="00114CE9"/>
    <w:rsid w:val="001168A6"/>
    <w:rsid w:val="001200CB"/>
    <w:rsid w:val="00120BA0"/>
    <w:rsid w:val="00121895"/>
    <w:rsid w:val="00123010"/>
    <w:rsid w:val="00123337"/>
    <w:rsid w:val="00123C53"/>
    <w:rsid w:val="0012741D"/>
    <w:rsid w:val="0013032A"/>
    <w:rsid w:val="001308C7"/>
    <w:rsid w:val="001308CF"/>
    <w:rsid w:val="00130BA3"/>
    <w:rsid w:val="001318C6"/>
    <w:rsid w:val="00132326"/>
    <w:rsid w:val="00133232"/>
    <w:rsid w:val="001365AC"/>
    <w:rsid w:val="00136EF0"/>
    <w:rsid w:val="00136F3F"/>
    <w:rsid w:val="00137E36"/>
    <w:rsid w:val="00140014"/>
    <w:rsid w:val="00140B46"/>
    <w:rsid w:val="001425D7"/>
    <w:rsid w:val="00142A27"/>
    <w:rsid w:val="00142AE2"/>
    <w:rsid w:val="0014385C"/>
    <w:rsid w:val="00144237"/>
    <w:rsid w:val="001448A9"/>
    <w:rsid w:val="0014495B"/>
    <w:rsid w:val="0014533D"/>
    <w:rsid w:val="00145C19"/>
    <w:rsid w:val="00146A26"/>
    <w:rsid w:val="00146DA8"/>
    <w:rsid w:val="00147312"/>
    <w:rsid w:val="0014749A"/>
    <w:rsid w:val="00147895"/>
    <w:rsid w:val="00150439"/>
    <w:rsid w:val="00151660"/>
    <w:rsid w:val="00151820"/>
    <w:rsid w:val="00152D21"/>
    <w:rsid w:val="001541E8"/>
    <w:rsid w:val="001542C7"/>
    <w:rsid w:val="00155451"/>
    <w:rsid w:val="001574D5"/>
    <w:rsid w:val="00157E39"/>
    <w:rsid w:val="00160246"/>
    <w:rsid w:val="001603E7"/>
    <w:rsid w:val="001606BA"/>
    <w:rsid w:val="0016162E"/>
    <w:rsid w:val="001625BC"/>
    <w:rsid w:val="00162CA4"/>
    <w:rsid w:val="001630B2"/>
    <w:rsid w:val="00163E60"/>
    <w:rsid w:val="00164729"/>
    <w:rsid w:val="00165870"/>
    <w:rsid w:val="00166A1D"/>
    <w:rsid w:val="0016730A"/>
    <w:rsid w:val="00171C1C"/>
    <w:rsid w:val="00171DFF"/>
    <w:rsid w:val="001722CC"/>
    <w:rsid w:val="0017598E"/>
    <w:rsid w:val="00175CE2"/>
    <w:rsid w:val="00177640"/>
    <w:rsid w:val="00177A23"/>
    <w:rsid w:val="00177EF8"/>
    <w:rsid w:val="00177EFD"/>
    <w:rsid w:val="001800E3"/>
    <w:rsid w:val="00180F97"/>
    <w:rsid w:val="001827D3"/>
    <w:rsid w:val="00182C12"/>
    <w:rsid w:val="00182DB5"/>
    <w:rsid w:val="00184C7C"/>
    <w:rsid w:val="001860C3"/>
    <w:rsid w:val="0018725A"/>
    <w:rsid w:val="00190FB2"/>
    <w:rsid w:val="001916B2"/>
    <w:rsid w:val="00191F6C"/>
    <w:rsid w:val="00192D15"/>
    <w:rsid w:val="00193386"/>
    <w:rsid w:val="00194004"/>
    <w:rsid w:val="00194802"/>
    <w:rsid w:val="001949BB"/>
    <w:rsid w:val="00195326"/>
    <w:rsid w:val="001960A0"/>
    <w:rsid w:val="00196129"/>
    <w:rsid w:val="00196295"/>
    <w:rsid w:val="001966FD"/>
    <w:rsid w:val="00196FF2"/>
    <w:rsid w:val="00197457"/>
    <w:rsid w:val="00197C74"/>
    <w:rsid w:val="001A03CD"/>
    <w:rsid w:val="001A15D2"/>
    <w:rsid w:val="001A1D27"/>
    <w:rsid w:val="001A29DD"/>
    <w:rsid w:val="001A2AB5"/>
    <w:rsid w:val="001A32EC"/>
    <w:rsid w:val="001A3C10"/>
    <w:rsid w:val="001A3E53"/>
    <w:rsid w:val="001A4638"/>
    <w:rsid w:val="001A4AF6"/>
    <w:rsid w:val="001A5009"/>
    <w:rsid w:val="001A5D4E"/>
    <w:rsid w:val="001A6908"/>
    <w:rsid w:val="001A74F5"/>
    <w:rsid w:val="001A7898"/>
    <w:rsid w:val="001B0C54"/>
    <w:rsid w:val="001B0CDF"/>
    <w:rsid w:val="001B152A"/>
    <w:rsid w:val="001B1A0E"/>
    <w:rsid w:val="001B1A47"/>
    <w:rsid w:val="001B20CA"/>
    <w:rsid w:val="001B2160"/>
    <w:rsid w:val="001B2A45"/>
    <w:rsid w:val="001B49B8"/>
    <w:rsid w:val="001B5AD9"/>
    <w:rsid w:val="001B65D2"/>
    <w:rsid w:val="001B6833"/>
    <w:rsid w:val="001B6C7F"/>
    <w:rsid w:val="001B74FB"/>
    <w:rsid w:val="001C0388"/>
    <w:rsid w:val="001C2787"/>
    <w:rsid w:val="001C2880"/>
    <w:rsid w:val="001C29A0"/>
    <w:rsid w:val="001C33BC"/>
    <w:rsid w:val="001C4322"/>
    <w:rsid w:val="001C4AE4"/>
    <w:rsid w:val="001C4FF9"/>
    <w:rsid w:val="001C559B"/>
    <w:rsid w:val="001C5972"/>
    <w:rsid w:val="001C5BAE"/>
    <w:rsid w:val="001C60AD"/>
    <w:rsid w:val="001C65CC"/>
    <w:rsid w:val="001C786F"/>
    <w:rsid w:val="001D209B"/>
    <w:rsid w:val="001D20C4"/>
    <w:rsid w:val="001D47C8"/>
    <w:rsid w:val="001D5566"/>
    <w:rsid w:val="001D615F"/>
    <w:rsid w:val="001D6FD4"/>
    <w:rsid w:val="001D715B"/>
    <w:rsid w:val="001D7DD0"/>
    <w:rsid w:val="001E0DCE"/>
    <w:rsid w:val="001E2B33"/>
    <w:rsid w:val="001E3223"/>
    <w:rsid w:val="001E3919"/>
    <w:rsid w:val="001E4420"/>
    <w:rsid w:val="001E5196"/>
    <w:rsid w:val="001E7658"/>
    <w:rsid w:val="001E7A7A"/>
    <w:rsid w:val="001F0B3E"/>
    <w:rsid w:val="001F1181"/>
    <w:rsid w:val="001F1734"/>
    <w:rsid w:val="001F1829"/>
    <w:rsid w:val="001F2041"/>
    <w:rsid w:val="001F2095"/>
    <w:rsid w:val="001F24CB"/>
    <w:rsid w:val="001F2C20"/>
    <w:rsid w:val="001F3C2B"/>
    <w:rsid w:val="001F3F5B"/>
    <w:rsid w:val="001F424D"/>
    <w:rsid w:val="001F454B"/>
    <w:rsid w:val="001F4669"/>
    <w:rsid w:val="001F5389"/>
    <w:rsid w:val="001F57F8"/>
    <w:rsid w:val="001F6A2E"/>
    <w:rsid w:val="001F6A55"/>
    <w:rsid w:val="001F6BE4"/>
    <w:rsid w:val="001F6BF4"/>
    <w:rsid w:val="001F7815"/>
    <w:rsid w:val="001F7AB5"/>
    <w:rsid w:val="001F7E41"/>
    <w:rsid w:val="002001FA"/>
    <w:rsid w:val="002008CB"/>
    <w:rsid w:val="002035A9"/>
    <w:rsid w:val="00204EE6"/>
    <w:rsid w:val="00207068"/>
    <w:rsid w:val="00207576"/>
    <w:rsid w:val="0020773F"/>
    <w:rsid w:val="00207F00"/>
    <w:rsid w:val="00210923"/>
    <w:rsid w:val="0021142F"/>
    <w:rsid w:val="00212247"/>
    <w:rsid w:val="002127D6"/>
    <w:rsid w:val="00212933"/>
    <w:rsid w:val="002132D6"/>
    <w:rsid w:val="00214035"/>
    <w:rsid w:val="00214B0B"/>
    <w:rsid w:val="00214FC8"/>
    <w:rsid w:val="00215EE3"/>
    <w:rsid w:val="00216D34"/>
    <w:rsid w:val="00216F15"/>
    <w:rsid w:val="00217317"/>
    <w:rsid w:val="0021771B"/>
    <w:rsid w:val="00217DB2"/>
    <w:rsid w:val="002201D2"/>
    <w:rsid w:val="00220A93"/>
    <w:rsid w:val="0022138B"/>
    <w:rsid w:val="00221FBB"/>
    <w:rsid w:val="00222464"/>
    <w:rsid w:val="00222640"/>
    <w:rsid w:val="00223206"/>
    <w:rsid w:val="002242EC"/>
    <w:rsid w:val="00224961"/>
    <w:rsid w:val="00224F3C"/>
    <w:rsid w:val="002250B3"/>
    <w:rsid w:val="002251E3"/>
    <w:rsid w:val="00225F5F"/>
    <w:rsid w:val="002260BC"/>
    <w:rsid w:val="0022611B"/>
    <w:rsid w:val="00226583"/>
    <w:rsid w:val="002279C0"/>
    <w:rsid w:val="00230572"/>
    <w:rsid w:val="002305D5"/>
    <w:rsid w:val="00230736"/>
    <w:rsid w:val="00230C87"/>
    <w:rsid w:val="00230D12"/>
    <w:rsid w:val="002312B8"/>
    <w:rsid w:val="00235869"/>
    <w:rsid w:val="002374EC"/>
    <w:rsid w:val="00237F1F"/>
    <w:rsid w:val="002404EA"/>
    <w:rsid w:val="00241728"/>
    <w:rsid w:val="0024190A"/>
    <w:rsid w:val="00241BFE"/>
    <w:rsid w:val="00242A98"/>
    <w:rsid w:val="002431AF"/>
    <w:rsid w:val="002432ED"/>
    <w:rsid w:val="00243822"/>
    <w:rsid w:val="0024472F"/>
    <w:rsid w:val="00244DE4"/>
    <w:rsid w:val="00244ED0"/>
    <w:rsid w:val="00245451"/>
    <w:rsid w:val="00246DA1"/>
    <w:rsid w:val="00247B4E"/>
    <w:rsid w:val="00250195"/>
    <w:rsid w:val="0025123E"/>
    <w:rsid w:val="0025185C"/>
    <w:rsid w:val="0025186D"/>
    <w:rsid w:val="00251E6A"/>
    <w:rsid w:val="00252E25"/>
    <w:rsid w:val="002535AF"/>
    <w:rsid w:val="00253B6C"/>
    <w:rsid w:val="00253E26"/>
    <w:rsid w:val="002543BB"/>
    <w:rsid w:val="00254DA4"/>
    <w:rsid w:val="00255928"/>
    <w:rsid w:val="00255983"/>
    <w:rsid w:val="002564B3"/>
    <w:rsid w:val="00256610"/>
    <w:rsid w:val="00257745"/>
    <w:rsid w:val="00260E1A"/>
    <w:rsid w:val="00261326"/>
    <w:rsid w:val="00261946"/>
    <w:rsid w:val="00262860"/>
    <w:rsid w:val="002634FF"/>
    <w:rsid w:val="00263A25"/>
    <w:rsid w:val="00263BB2"/>
    <w:rsid w:val="00263CDD"/>
    <w:rsid w:val="002645F4"/>
    <w:rsid w:val="002655AA"/>
    <w:rsid w:val="00266E2C"/>
    <w:rsid w:val="0026781A"/>
    <w:rsid w:val="00270E4C"/>
    <w:rsid w:val="00270E56"/>
    <w:rsid w:val="00270F60"/>
    <w:rsid w:val="002733B0"/>
    <w:rsid w:val="002746E2"/>
    <w:rsid w:val="00274737"/>
    <w:rsid w:val="00275439"/>
    <w:rsid w:val="00276734"/>
    <w:rsid w:val="0027696B"/>
    <w:rsid w:val="00280C52"/>
    <w:rsid w:val="002810D0"/>
    <w:rsid w:val="00282078"/>
    <w:rsid w:val="0028262E"/>
    <w:rsid w:val="00282770"/>
    <w:rsid w:val="0028546D"/>
    <w:rsid w:val="00286B6C"/>
    <w:rsid w:val="00286C36"/>
    <w:rsid w:val="00287024"/>
    <w:rsid w:val="00287848"/>
    <w:rsid w:val="00290D7A"/>
    <w:rsid w:val="00290F6B"/>
    <w:rsid w:val="00291A7D"/>
    <w:rsid w:val="00291E34"/>
    <w:rsid w:val="002930D4"/>
    <w:rsid w:val="00294AAD"/>
    <w:rsid w:val="00294E6C"/>
    <w:rsid w:val="002954FF"/>
    <w:rsid w:val="00295918"/>
    <w:rsid w:val="0029641F"/>
    <w:rsid w:val="00296C68"/>
    <w:rsid w:val="0029758B"/>
    <w:rsid w:val="00297E81"/>
    <w:rsid w:val="002A0158"/>
    <w:rsid w:val="002A0C3B"/>
    <w:rsid w:val="002A13EA"/>
    <w:rsid w:val="002A14C3"/>
    <w:rsid w:val="002A1644"/>
    <w:rsid w:val="002A1DF9"/>
    <w:rsid w:val="002A1E41"/>
    <w:rsid w:val="002A29D2"/>
    <w:rsid w:val="002A2A58"/>
    <w:rsid w:val="002A389B"/>
    <w:rsid w:val="002A46D4"/>
    <w:rsid w:val="002A4B14"/>
    <w:rsid w:val="002A4C88"/>
    <w:rsid w:val="002A4D7E"/>
    <w:rsid w:val="002A524E"/>
    <w:rsid w:val="002A5A3E"/>
    <w:rsid w:val="002A5D50"/>
    <w:rsid w:val="002A6AF9"/>
    <w:rsid w:val="002A6C58"/>
    <w:rsid w:val="002A75B3"/>
    <w:rsid w:val="002B12FC"/>
    <w:rsid w:val="002B168D"/>
    <w:rsid w:val="002B257F"/>
    <w:rsid w:val="002B284D"/>
    <w:rsid w:val="002B3E05"/>
    <w:rsid w:val="002B60DE"/>
    <w:rsid w:val="002B631F"/>
    <w:rsid w:val="002B687E"/>
    <w:rsid w:val="002B6A0E"/>
    <w:rsid w:val="002B7ABC"/>
    <w:rsid w:val="002C03AC"/>
    <w:rsid w:val="002C04EB"/>
    <w:rsid w:val="002C0857"/>
    <w:rsid w:val="002C12F5"/>
    <w:rsid w:val="002C16CF"/>
    <w:rsid w:val="002C1A9E"/>
    <w:rsid w:val="002C32F4"/>
    <w:rsid w:val="002C34DD"/>
    <w:rsid w:val="002C3FB1"/>
    <w:rsid w:val="002C4BFB"/>
    <w:rsid w:val="002C5BA4"/>
    <w:rsid w:val="002C6560"/>
    <w:rsid w:val="002C66D5"/>
    <w:rsid w:val="002C723E"/>
    <w:rsid w:val="002D0A64"/>
    <w:rsid w:val="002D14C8"/>
    <w:rsid w:val="002D1552"/>
    <w:rsid w:val="002D2687"/>
    <w:rsid w:val="002D3230"/>
    <w:rsid w:val="002D339C"/>
    <w:rsid w:val="002D38BA"/>
    <w:rsid w:val="002D3BEF"/>
    <w:rsid w:val="002D56DF"/>
    <w:rsid w:val="002D69BC"/>
    <w:rsid w:val="002D6CF8"/>
    <w:rsid w:val="002D7B9B"/>
    <w:rsid w:val="002E00BA"/>
    <w:rsid w:val="002E0759"/>
    <w:rsid w:val="002E0BAD"/>
    <w:rsid w:val="002E18C9"/>
    <w:rsid w:val="002E1C5C"/>
    <w:rsid w:val="002E1D7C"/>
    <w:rsid w:val="002E2130"/>
    <w:rsid w:val="002E29B9"/>
    <w:rsid w:val="002E2CA9"/>
    <w:rsid w:val="002E2F66"/>
    <w:rsid w:val="002E3799"/>
    <w:rsid w:val="002E3E19"/>
    <w:rsid w:val="002E3EC2"/>
    <w:rsid w:val="002E4BED"/>
    <w:rsid w:val="002E7AC5"/>
    <w:rsid w:val="002F07E0"/>
    <w:rsid w:val="002F0BF5"/>
    <w:rsid w:val="002F207D"/>
    <w:rsid w:val="002F21BA"/>
    <w:rsid w:val="002F2636"/>
    <w:rsid w:val="002F291F"/>
    <w:rsid w:val="002F3348"/>
    <w:rsid w:val="002F37DF"/>
    <w:rsid w:val="002F3E5A"/>
    <w:rsid w:val="002F463E"/>
    <w:rsid w:val="002F591F"/>
    <w:rsid w:val="002F5BF0"/>
    <w:rsid w:val="002F5FE0"/>
    <w:rsid w:val="002F60B0"/>
    <w:rsid w:val="003004C5"/>
    <w:rsid w:val="003007DD"/>
    <w:rsid w:val="00300C67"/>
    <w:rsid w:val="003019C3"/>
    <w:rsid w:val="00301BFC"/>
    <w:rsid w:val="003056F2"/>
    <w:rsid w:val="00305C93"/>
    <w:rsid w:val="0030785B"/>
    <w:rsid w:val="00307985"/>
    <w:rsid w:val="00307E51"/>
    <w:rsid w:val="00310398"/>
    <w:rsid w:val="003117F1"/>
    <w:rsid w:val="003122EE"/>
    <w:rsid w:val="00312DD9"/>
    <w:rsid w:val="003130A6"/>
    <w:rsid w:val="0031311E"/>
    <w:rsid w:val="0031313E"/>
    <w:rsid w:val="00313EE3"/>
    <w:rsid w:val="0031492F"/>
    <w:rsid w:val="00314D96"/>
    <w:rsid w:val="0031528D"/>
    <w:rsid w:val="00316AAC"/>
    <w:rsid w:val="00316C08"/>
    <w:rsid w:val="00316F07"/>
    <w:rsid w:val="003172EB"/>
    <w:rsid w:val="00317A36"/>
    <w:rsid w:val="00320173"/>
    <w:rsid w:val="0032273E"/>
    <w:rsid w:val="0032386D"/>
    <w:rsid w:val="00324649"/>
    <w:rsid w:val="00324DAE"/>
    <w:rsid w:val="003256D1"/>
    <w:rsid w:val="00326668"/>
    <w:rsid w:val="003268C5"/>
    <w:rsid w:val="00326FA6"/>
    <w:rsid w:val="00330045"/>
    <w:rsid w:val="003300E0"/>
    <w:rsid w:val="003310DA"/>
    <w:rsid w:val="003311C4"/>
    <w:rsid w:val="00332261"/>
    <w:rsid w:val="003322BE"/>
    <w:rsid w:val="00332546"/>
    <w:rsid w:val="00332722"/>
    <w:rsid w:val="00334507"/>
    <w:rsid w:val="003353EF"/>
    <w:rsid w:val="00335BB8"/>
    <w:rsid w:val="0034099A"/>
    <w:rsid w:val="0034117C"/>
    <w:rsid w:val="003411A0"/>
    <w:rsid w:val="003419D0"/>
    <w:rsid w:val="00343638"/>
    <w:rsid w:val="00344173"/>
    <w:rsid w:val="0034477D"/>
    <w:rsid w:val="00344977"/>
    <w:rsid w:val="00347029"/>
    <w:rsid w:val="00350529"/>
    <w:rsid w:val="00350A57"/>
    <w:rsid w:val="00351931"/>
    <w:rsid w:val="00351ED8"/>
    <w:rsid w:val="0035277D"/>
    <w:rsid w:val="0035590B"/>
    <w:rsid w:val="00355C4B"/>
    <w:rsid w:val="003560CD"/>
    <w:rsid w:val="00356210"/>
    <w:rsid w:val="0035695E"/>
    <w:rsid w:val="00356A4F"/>
    <w:rsid w:val="003603A1"/>
    <w:rsid w:val="00360E33"/>
    <w:rsid w:val="003610D5"/>
    <w:rsid w:val="0036154F"/>
    <w:rsid w:val="00361B19"/>
    <w:rsid w:val="003620DB"/>
    <w:rsid w:val="00362237"/>
    <w:rsid w:val="0036279B"/>
    <w:rsid w:val="00362820"/>
    <w:rsid w:val="00362C00"/>
    <w:rsid w:val="003636DD"/>
    <w:rsid w:val="0036413E"/>
    <w:rsid w:val="0036493B"/>
    <w:rsid w:val="003659C1"/>
    <w:rsid w:val="003663AE"/>
    <w:rsid w:val="003663B3"/>
    <w:rsid w:val="0036685B"/>
    <w:rsid w:val="00367AAE"/>
    <w:rsid w:val="00370FFA"/>
    <w:rsid w:val="00371F43"/>
    <w:rsid w:val="003722BD"/>
    <w:rsid w:val="00373406"/>
    <w:rsid w:val="00373F03"/>
    <w:rsid w:val="003741DA"/>
    <w:rsid w:val="00374B9F"/>
    <w:rsid w:val="00374FBA"/>
    <w:rsid w:val="00375B08"/>
    <w:rsid w:val="00375EFF"/>
    <w:rsid w:val="00376BB2"/>
    <w:rsid w:val="0037723D"/>
    <w:rsid w:val="00377341"/>
    <w:rsid w:val="0038070B"/>
    <w:rsid w:val="003808C2"/>
    <w:rsid w:val="00381660"/>
    <w:rsid w:val="0038307A"/>
    <w:rsid w:val="00383124"/>
    <w:rsid w:val="0038357A"/>
    <w:rsid w:val="00384692"/>
    <w:rsid w:val="00385628"/>
    <w:rsid w:val="00385A89"/>
    <w:rsid w:val="00386807"/>
    <w:rsid w:val="0038724F"/>
    <w:rsid w:val="00387266"/>
    <w:rsid w:val="00387879"/>
    <w:rsid w:val="0039154C"/>
    <w:rsid w:val="00393CD2"/>
    <w:rsid w:val="00393CE7"/>
    <w:rsid w:val="00394D92"/>
    <w:rsid w:val="0039572C"/>
    <w:rsid w:val="003970CE"/>
    <w:rsid w:val="00397520"/>
    <w:rsid w:val="003A0C91"/>
    <w:rsid w:val="003A12C3"/>
    <w:rsid w:val="003A1484"/>
    <w:rsid w:val="003A15FE"/>
    <w:rsid w:val="003A1774"/>
    <w:rsid w:val="003A3004"/>
    <w:rsid w:val="003A3FB6"/>
    <w:rsid w:val="003A4692"/>
    <w:rsid w:val="003A6884"/>
    <w:rsid w:val="003A7073"/>
    <w:rsid w:val="003A76F8"/>
    <w:rsid w:val="003A7959"/>
    <w:rsid w:val="003B18E0"/>
    <w:rsid w:val="003B3850"/>
    <w:rsid w:val="003B4D84"/>
    <w:rsid w:val="003B4DDE"/>
    <w:rsid w:val="003B5E9D"/>
    <w:rsid w:val="003B60E9"/>
    <w:rsid w:val="003B6148"/>
    <w:rsid w:val="003B673A"/>
    <w:rsid w:val="003B7650"/>
    <w:rsid w:val="003B7A96"/>
    <w:rsid w:val="003B7CA5"/>
    <w:rsid w:val="003C00EB"/>
    <w:rsid w:val="003C124D"/>
    <w:rsid w:val="003C195E"/>
    <w:rsid w:val="003C19B2"/>
    <w:rsid w:val="003C25E3"/>
    <w:rsid w:val="003C26DE"/>
    <w:rsid w:val="003C505A"/>
    <w:rsid w:val="003C5B10"/>
    <w:rsid w:val="003C6624"/>
    <w:rsid w:val="003C7C63"/>
    <w:rsid w:val="003D0C00"/>
    <w:rsid w:val="003D102F"/>
    <w:rsid w:val="003D1A57"/>
    <w:rsid w:val="003D1EB4"/>
    <w:rsid w:val="003D3D6C"/>
    <w:rsid w:val="003D4565"/>
    <w:rsid w:val="003D57B0"/>
    <w:rsid w:val="003D7118"/>
    <w:rsid w:val="003D7292"/>
    <w:rsid w:val="003D73D5"/>
    <w:rsid w:val="003D7974"/>
    <w:rsid w:val="003D7D14"/>
    <w:rsid w:val="003E0FD7"/>
    <w:rsid w:val="003E1848"/>
    <w:rsid w:val="003E18AE"/>
    <w:rsid w:val="003E2D4C"/>
    <w:rsid w:val="003E4773"/>
    <w:rsid w:val="003E6FC1"/>
    <w:rsid w:val="003E7C28"/>
    <w:rsid w:val="003E7DAB"/>
    <w:rsid w:val="003F1DB8"/>
    <w:rsid w:val="003F1FFA"/>
    <w:rsid w:val="003F2647"/>
    <w:rsid w:val="003F37EB"/>
    <w:rsid w:val="003F3B43"/>
    <w:rsid w:val="003F473C"/>
    <w:rsid w:val="003F4E67"/>
    <w:rsid w:val="003F5797"/>
    <w:rsid w:val="003F68B0"/>
    <w:rsid w:val="003F6F8F"/>
    <w:rsid w:val="003F7691"/>
    <w:rsid w:val="003F7D01"/>
    <w:rsid w:val="00400590"/>
    <w:rsid w:val="004013E8"/>
    <w:rsid w:val="00401DB2"/>
    <w:rsid w:val="00401F07"/>
    <w:rsid w:val="00402B74"/>
    <w:rsid w:val="00405897"/>
    <w:rsid w:val="00406019"/>
    <w:rsid w:val="0041213B"/>
    <w:rsid w:val="004122FA"/>
    <w:rsid w:val="00412532"/>
    <w:rsid w:val="00412A00"/>
    <w:rsid w:val="00412F2C"/>
    <w:rsid w:val="004134F3"/>
    <w:rsid w:val="00413EF6"/>
    <w:rsid w:val="00414A72"/>
    <w:rsid w:val="00414BD2"/>
    <w:rsid w:val="00414BD5"/>
    <w:rsid w:val="00415738"/>
    <w:rsid w:val="004161BD"/>
    <w:rsid w:val="004164A2"/>
    <w:rsid w:val="00416F49"/>
    <w:rsid w:val="0041778B"/>
    <w:rsid w:val="0041790A"/>
    <w:rsid w:val="00417E3D"/>
    <w:rsid w:val="004202F6"/>
    <w:rsid w:val="004203A6"/>
    <w:rsid w:val="00421053"/>
    <w:rsid w:val="0042121A"/>
    <w:rsid w:val="00421B08"/>
    <w:rsid w:val="004227AE"/>
    <w:rsid w:val="004228D8"/>
    <w:rsid w:val="00423145"/>
    <w:rsid w:val="004231B4"/>
    <w:rsid w:val="00423451"/>
    <w:rsid w:val="00423528"/>
    <w:rsid w:val="004238F6"/>
    <w:rsid w:val="00423DB5"/>
    <w:rsid w:val="0042460F"/>
    <w:rsid w:val="004256DB"/>
    <w:rsid w:val="00425BE3"/>
    <w:rsid w:val="00427B5D"/>
    <w:rsid w:val="004319B2"/>
    <w:rsid w:val="0043239D"/>
    <w:rsid w:val="004325F1"/>
    <w:rsid w:val="00433E54"/>
    <w:rsid w:val="00433EDC"/>
    <w:rsid w:val="00434A42"/>
    <w:rsid w:val="00434C84"/>
    <w:rsid w:val="00435B55"/>
    <w:rsid w:val="00436037"/>
    <w:rsid w:val="004370A0"/>
    <w:rsid w:val="0043782A"/>
    <w:rsid w:val="00437E76"/>
    <w:rsid w:val="00440056"/>
    <w:rsid w:val="004402A6"/>
    <w:rsid w:val="00440C8F"/>
    <w:rsid w:val="00440FFC"/>
    <w:rsid w:val="00442D20"/>
    <w:rsid w:val="0044364C"/>
    <w:rsid w:val="0044368C"/>
    <w:rsid w:val="004436EF"/>
    <w:rsid w:val="00443785"/>
    <w:rsid w:val="00443EF8"/>
    <w:rsid w:val="00443FD7"/>
    <w:rsid w:val="00445190"/>
    <w:rsid w:val="00446031"/>
    <w:rsid w:val="004461EE"/>
    <w:rsid w:val="00446E1A"/>
    <w:rsid w:val="00447179"/>
    <w:rsid w:val="004473AD"/>
    <w:rsid w:val="0044767A"/>
    <w:rsid w:val="00447F06"/>
    <w:rsid w:val="00447F17"/>
    <w:rsid w:val="0045002A"/>
    <w:rsid w:val="0045120F"/>
    <w:rsid w:val="00451EFC"/>
    <w:rsid w:val="00451F27"/>
    <w:rsid w:val="004538F2"/>
    <w:rsid w:val="004546DD"/>
    <w:rsid w:val="004548D3"/>
    <w:rsid w:val="00454D17"/>
    <w:rsid w:val="00455075"/>
    <w:rsid w:val="00455148"/>
    <w:rsid w:val="0045545D"/>
    <w:rsid w:val="004568FF"/>
    <w:rsid w:val="00456964"/>
    <w:rsid w:val="00457A62"/>
    <w:rsid w:val="004600B8"/>
    <w:rsid w:val="0046034A"/>
    <w:rsid w:val="00460423"/>
    <w:rsid w:val="00460899"/>
    <w:rsid w:val="00460E28"/>
    <w:rsid w:val="00460FA5"/>
    <w:rsid w:val="004618CA"/>
    <w:rsid w:val="00462F53"/>
    <w:rsid w:val="00462F57"/>
    <w:rsid w:val="0046369F"/>
    <w:rsid w:val="004642BD"/>
    <w:rsid w:val="0046466C"/>
    <w:rsid w:val="00465CCA"/>
    <w:rsid w:val="00465F24"/>
    <w:rsid w:val="00466983"/>
    <w:rsid w:val="00466CA7"/>
    <w:rsid w:val="00467A29"/>
    <w:rsid w:val="0047047E"/>
    <w:rsid w:val="00470D37"/>
    <w:rsid w:val="0047123E"/>
    <w:rsid w:val="00471B11"/>
    <w:rsid w:val="004726A2"/>
    <w:rsid w:val="00473159"/>
    <w:rsid w:val="004734E6"/>
    <w:rsid w:val="0047366E"/>
    <w:rsid w:val="00474FD2"/>
    <w:rsid w:val="0047531F"/>
    <w:rsid w:val="00476E1A"/>
    <w:rsid w:val="00481ADA"/>
    <w:rsid w:val="004828C0"/>
    <w:rsid w:val="00482FA1"/>
    <w:rsid w:val="00482FAF"/>
    <w:rsid w:val="00483A64"/>
    <w:rsid w:val="00483F00"/>
    <w:rsid w:val="00484737"/>
    <w:rsid w:val="00484FDA"/>
    <w:rsid w:val="004853F3"/>
    <w:rsid w:val="00485629"/>
    <w:rsid w:val="00486239"/>
    <w:rsid w:val="004925B1"/>
    <w:rsid w:val="004927BA"/>
    <w:rsid w:val="00493FE4"/>
    <w:rsid w:val="00494CF9"/>
    <w:rsid w:val="00494F2B"/>
    <w:rsid w:val="0049514A"/>
    <w:rsid w:val="0049556E"/>
    <w:rsid w:val="004958D5"/>
    <w:rsid w:val="004963F1"/>
    <w:rsid w:val="004969DD"/>
    <w:rsid w:val="00497532"/>
    <w:rsid w:val="004A0C73"/>
    <w:rsid w:val="004A118F"/>
    <w:rsid w:val="004A13F6"/>
    <w:rsid w:val="004A5CD5"/>
    <w:rsid w:val="004A65B3"/>
    <w:rsid w:val="004A6BC6"/>
    <w:rsid w:val="004A76D9"/>
    <w:rsid w:val="004B08A6"/>
    <w:rsid w:val="004B1955"/>
    <w:rsid w:val="004B2609"/>
    <w:rsid w:val="004B284E"/>
    <w:rsid w:val="004B2B8D"/>
    <w:rsid w:val="004B2D7E"/>
    <w:rsid w:val="004B3281"/>
    <w:rsid w:val="004B35E5"/>
    <w:rsid w:val="004B3E75"/>
    <w:rsid w:val="004B47CB"/>
    <w:rsid w:val="004B49EA"/>
    <w:rsid w:val="004B524E"/>
    <w:rsid w:val="004B613B"/>
    <w:rsid w:val="004B6159"/>
    <w:rsid w:val="004B6875"/>
    <w:rsid w:val="004B7128"/>
    <w:rsid w:val="004B7371"/>
    <w:rsid w:val="004B740F"/>
    <w:rsid w:val="004C0F6C"/>
    <w:rsid w:val="004C124A"/>
    <w:rsid w:val="004C4359"/>
    <w:rsid w:val="004C4BDD"/>
    <w:rsid w:val="004C5053"/>
    <w:rsid w:val="004C54AC"/>
    <w:rsid w:val="004C5AEF"/>
    <w:rsid w:val="004C6EC7"/>
    <w:rsid w:val="004C7ABB"/>
    <w:rsid w:val="004D0417"/>
    <w:rsid w:val="004D0A98"/>
    <w:rsid w:val="004D1188"/>
    <w:rsid w:val="004D17AB"/>
    <w:rsid w:val="004D1946"/>
    <w:rsid w:val="004D2486"/>
    <w:rsid w:val="004D3770"/>
    <w:rsid w:val="004D3A98"/>
    <w:rsid w:val="004D3B81"/>
    <w:rsid w:val="004D3DEE"/>
    <w:rsid w:val="004D521C"/>
    <w:rsid w:val="004D5693"/>
    <w:rsid w:val="004D5E49"/>
    <w:rsid w:val="004D5FC2"/>
    <w:rsid w:val="004D686A"/>
    <w:rsid w:val="004D6FC9"/>
    <w:rsid w:val="004D7401"/>
    <w:rsid w:val="004E00D0"/>
    <w:rsid w:val="004E35DD"/>
    <w:rsid w:val="004E3BD4"/>
    <w:rsid w:val="004E4221"/>
    <w:rsid w:val="004E4FCC"/>
    <w:rsid w:val="004E5BCA"/>
    <w:rsid w:val="004E6011"/>
    <w:rsid w:val="004E6025"/>
    <w:rsid w:val="004E6BA5"/>
    <w:rsid w:val="004E760C"/>
    <w:rsid w:val="004E7C94"/>
    <w:rsid w:val="004E7CAF"/>
    <w:rsid w:val="004F04DC"/>
    <w:rsid w:val="004F0595"/>
    <w:rsid w:val="004F0C0D"/>
    <w:rsid w:val="004F0D14"/>
    <w:rsid w:val="004F0DA5"/>
    <w:rsid w:val="004F12C3"/>
    <w:rsid w:val="004F130D"/>
    <w:rsid w:val="004F1B1E"/>
    <w:rsid w:val="004F4022"/>
    <w:rsid w:val="004F4414"/>
    <w:rsid w:val="004F540C"/>
    <w:rsid w:val="004F6DA6"/>
    <w:rsid w:val="004F727B"/>
    <w:rsid w:val="004F7725"/>
    <w:rsid w:val="004F7874"/>
    <w:rsid w:val="0050458E"/>
    <w:rsid w:val="00504F56"/>
    <w:rsid w:val="005050DA"/>
    <w:rsid w:val="00505289"/>
    <w:rsid w:val="005066F3"/>
    <w:rsid w:val="005067C9"/>
    <w:rsid w:val="00506A43"/>
    <w:rsid w:val="0050725F"/>
    <w:rsid w:val="0050728A"/>
    <w:rsid w:val="005074AF"/>
    <w:rsid w:val="0051232E"/>
    <w:rsid w:val="005125C9"/>
    <w:rsid w:val="00512B6D"/>
    <w:rsid w:val="005139BC"/>
    <w:rsid w:val="00513D6F"/>
    <w:rsid w:val="0051439C"/>
    <w:rsid w:val="00514C60"/>
    <w:rsid w:val="00514D87"/>
    <w:rsid w:val="0051549F"/>
    <w:rsid w:val="00515E2F"/>
    <w:rsid w:val="005167DE"/>
    <w:rsid w:val="00517D6C"/>
    <w:rsid w:val="00517D94"/>
    <w:rsid w:val="00517DB8"/>
    <w:rsid w:val="00520123"/>
    <w:rsid w:val="00521A9B"/>
    <w:rsid w:val="00521EA1"/>
    <w:rsid w:val="00522741"/>
    <w:rsid w:val="00522CEF"/>
    <w:rsid w:val="0052304C"/>
    <w:rsid w:val="0052366E"/>
    <w:rsid w:val="00523B15"/>
    <w:rsid w:val="00524149"/>
    <w:rsid w:val="005244A4"/>
    <w:rsid w:val="0052483F"/>
    <w:rsid w:val="00524A71"/>
    <w:rsid w:val="0052511C"/>
    <w:rsid w:val="005254B6"/>
    <w:rsid w:val="005255DF"/>
    <w:rsid w:val="005277AB"/>
    <w:rsid w:val="005301F7"/>
    <w:rsid w:val="005307A4"/>
    <w:rsid w:val="00530BAD"/>
    <w:rsid w:val="00531EB6"/>
    <w:rsid w:val="00533B4A"/>
    <w:rsid w:val="00533C2F"/>
    <w:rsid w:val="00533C4D"/>
    <w:rsid w:val="0053428E"/>
    <w:rsid w:val="00535D61"/>
    <w:rsid w:val="0053687F"/>
    <w:rsid w:val="00536BEF"/>
    <w:rsid w:val="00537DA9"/>
    <w:rsid w:val="00540720"/>
    <w:rsid w:val="00541C20"/>
    <w:rsid w:val="00542B35"/>
    <w:rsid w:val="00542D16"/>
    <w:rsid w:val="00542DD5"/>
    <w:rsid w:val="00543184"/>
    <w:rsid w:val="00543D10"/>
    <w:rsid w:val="005447DE"/>
    <w:rsid w:val="00544AF5"/>
    <w:rsid w:val="005457EA"/>
    <w:rsid w:val="00545F75"/>
    <w:rsid w:val="0054607A"/>
    <w:rsid w:val="0054637C"/>
    <w:rsid w:val="00547CBE"/>
    <w:rsid w:val="0055081B"/>
    <w:rsid w:val="005513EC"/>
    <w:rsid w:val="005514AE"/>
    <w:rsid w:val="005539B7"/>
    <w:rsid w:val="00553C5A"/>
    <w:rsid w:val="005541DB"/>
    <w:rsid w:val="005560AA"/>
    <w:rsid w:val="005569F9"/>
    <w:rsid w:val="00556D33"/>
    <w:rsid w:val="005607FD"/>
    <w:rsid w:val="00561025"/>
    <w:rsid w:val="00561042"/>
    <w:rsid w:val="005623CF"/>
    <w:rsid w:val="0056240B"/>
    <w:rsid w:val="0056277F"/>
    <w:rsid w:val="00563682"/>
    <w:rsid w:val="00563C2D"/>
    <w:rsid w:val="005648BD"/>
    <w:rsid w:val="005648F6"/>
    <w:rsid w:val="005652DC"/>
    <w:rsid w:val="0056738B"/>
    <w:rsid w:val="00567741"/>
    <w:rsid w:val="00567D20"/>
    <w:rsid w:val="00570C3A"/>
    <w:rsid w:val="00571139"/>
    <w:rsid w:val="00571204"/>
    <w:rsid w:val="005720D4"/>
    <w:rsid w:val="005744F9"/>
    <w:rsid w:val="00574696"/>
    <w:rsid w:val="005755E4"/>
    <w:rsid w:val="0057560C"/>
    <w:rsid w:val="00575800"/>
    <w:rsid w:val="00575E53"/>
    <w:rsid w:val="00575F57"/>
    <w:rsid w:val="00576186"/>
    <w:rsid w:val="0057646C"/>
    <w:rsid w:val="0057654C"/>
    <w:rsid w:val="00576B01"/>
    <w:rsid w:val="005777CF"/>
    <w:rsid w:val="00580013"/>
    <w:rsid w:val="0058141A"/>
    <w:rsid w:val="00581E62"/>
    <w:rsid w:val="005822D7"/>
    <w:rsid w:val="00582A5B"/>
    <w:rsid w:val="005833BF"/>
    <w:rsid w:val="00583BF1"/>
    <w:rsid w:val="0058451F"/>
    <w:rsid w:val="00584BD7"/>
    <w:rsid w:val="00584D5C"/>
    <w:rsid w:val="0058627D"/>
    <w:rsid w:val="005865BD"/>
    <w:rsid w:val="005879D1"/>
    <w:rsid w:val="00587A84"/>
    <w:rsid w:val="0059016C"/>
    <w:rsid w:val="00591222"/>
    <w:rsid w:val="00591AE8"/>
    <w:rsid w:val="00591E29"/>
    <w:rsid w:val="005923C0"/>
    <w:rsid w:val="0059244C"/>
    <w:rsid w:val="00592509"/>
    <w:rsid w:val="005929B7"/>
    <w:rsid w:val="00592AF7"/>
    <w:rsid w:val="0059309A"/>
    <w:rsid w:val="005931F8"/>
    <w:rsid w:val="00593F14"/>
    <w:rsid w:val="00594CE9"/>
    <w:rsid w:val="005955BD"/>
    <w:rsid w:val="005978FD"/>
    <w:rsid w:val="00597C3D"/>
    <w:rsid w:val="005A0D2F"/>
    <w:rsid w:val="005A1ADC"/>
    <w:rsid w:val="005A28B6"/>
    <w:rsid w:val="005A2A18"/>
    <w:rsid w:val="005A2D1F"/>
    <w:rsid w:val="005A3195"/>
    <w:rsid w:val="005A3A8F"/>
    <w:rsid w:val="005A3F90"/>
    <w:rsid w:val="005A600E"/>
    <w:rsid w:val="005A63C4"/>
    <w:rsid w:val="005A69EB"/>
    <w:rsid w:val="005A74C9"/>
    <w:rsid w:val="005A7AEA"/>
    <w:rsid w:val="005A7F4E"/>
    <w:rsid w:val="005B1877"/>
    <w:rsid w:val="005B2370"/>
    <w:rsid w:val="005B35B2"/>
    <w:rsid w:val="005B4307"/>
    <w:rsid w:val="005B4A31"/>
    <w:rsid w:val="005B4E0E"/>
    <w:rsid w:val="005B509A"/>
    <w:rsid w:val="005B5471"/>
    <w:rsid w:val="005B547A"/>
    <w:rsid w:val="005B577D"/>
    <w:rsid w:val="005B6B68"/>
    <w:rsid w:val="005B6F01"/>
    <w:rsid w:val="005B791D"/>
    <w:rsid w:val="005C0B26"/>
    <w:rsid w:val="005C1773"/>
    <w:rsid w:val="005C1D40"/>
    <w:rsid w:val="005C209B"/>
    <w:rsid w:val="005C24F2"/>
    <w:rsid w:val="005C261B"/>
    <w:rsid w:val="005C37AC"/>
    <w:rsid w:val="005C5291"/>
    <w:rsid w:val="005C5FCC"/>
    <w:rsid w:val="005C7648"/>
    <w:rsid w:val="005C782C"/>
    <w:rsid w:val="005D05EF"/>
    <w:rsid w:val="005D09F5"/>
    <w:rsid w:val="005D0D3D"/>
    <w:rsid w:val="005D114E"/>
    <w:rsid w:val="005D2E64"/>
    <w:rsid w:val="005D3197"/>
    <w:rsid w:val="005D32F8"/>
    <w:rsid w:val="005D3E15"/>
    <w:rsid w:val="005D3EB4"/>
    <w:rsid w:val="005D45A7"/>
    <w:rsid w:val="005D4850"/>
    <w:rsid w:val="005D5DF7"/>
    <w:rsid w:val="005D622D"/>
    <w:rsid w:val="005D781D"/>
    <w:rsid w:val="005D7826"/>
    <w:rsid w:val="005D78A4"/>
    <w:rsid w:val="005E0035"/>
    <w:rsid w:val="005E06B4"/>
    <w:rsid w:val="005E06DA"/>
    <w:rsid w:val="005E1633"/>
    <w:rsid w:val="005E1B0B"/>
    <w:rsid w:val="005E214E"/>
    <w:rsid w:val="005E3EE9"/>
    <w:rsid w:val="005E4372"/>
    <w:rsid w:val="005E4A99"/>
    <w:rsid w:val="005E4CFB"/>
    <w:rsid w:val="005E66AA"/>
    <w:rsid w:val="005F1326"/>
    <w:rsid w:val="005F143D"/>
    <w:rsid w:val="005F160F"/>
    <w:rsid w:val="005F29AB"/>
    <w:rsid w:val="005F3763"/>
    <w:rsid w:val="005F3990"/>
    <w:rsid w:val="005F4221"/>
    <w:rsid w:val="005F4442"/>
    <w:rsid w:val="005F45B0"/>
    <w:rsid w:val="005F4621"/>
    <w:rsid w:val="005F4829"/>
    <w:rsid w:val="005F4A51"/>
    <w:rsid w:val="005F6292"/>
    <w:rsid w:val="005F66B3"/>
    <w:rsid w:val="005F67BB"/>
    <w:rsid w:val="005F6F6B"/>
    <w:rsid w:val="005F7B70"/>
    <w:rsid w:val="00600A03"/>
    <w:rsid w:val="00600E49"/>
    <w:rsid w:val="0060150A"/>
    <w:rsid w:val="00601B76"/>
    <w:rsid w:val="00601C16"/>
    <w:rsid w:val="00602282"/>
    <w:rsid w:val="006026A3"/>
    <w:rsid w:val="006034C0"/>
    <w:rsid w:val="00607932"/>
    <w:rsid w:val="00607EE4"/>
    <w:rsid w:val="00607F05"/>
    <w:rsid w:val="00607FA2"/>
    <w:rsid w:val="006108F0"/>
    <w:rsid w:val="00610B9F"/>
    <w:rsid w:val="00610CC0"/>
    <w:rsid w:val="00611AFB"/>
    <w:rsid w:val="00611CD8"/>
    <w:rsid w:val="006127F5"/>
    <w:rsid w:val="00612F14"/>
    <w:rsid w:val="006130D3"/>
    <w:rsid w:val="006141A2"/>
    <w:rsid w:val="006143A3"/>
    <w:rsid w:val="00615451"/>
    <w:rsid w:val="006157B3"/>
    <w:rsid w:val="0061586E"/>
    <w:rsid w:val="00615E84"/>
    <w:rsid w:val="00615E94"/>
    <w:rsid w:val="00616246"/>
    <w:rsid w:val="0061640C"/>
    <w:rsid w:val="00616957"/>
    <w:rsid w:val="006174DB"/>
    <w:rsid w:val="00617847"/>
    <w:rsid w:val="00621734"/>
    <w:rsid w:val="006223E3"/>
    <w:rsid w:val="00622584"/>
    <w:rsid w:val="006232A9"/>
    <w:rsid w:val="006237CD"/>
    <w:rsid w:val="006241F7"/>
    <w:rsid w:val="00624BD1"/>
    <w:rsid w:val="006258D5"/>
    <w:rsid w:val="00625DEE"/>
    <w:rsid w:val="006273FE"/>
    <w:rsid w:val="00627824"/>
    <w:rsid w:val="006279E0"/>
    <w:rsid w:val="00630743"/>
    <w:rsid w:val="0063075E"/>
    <w:rsid w:val="00630C7E"/>
    <w:rsid w:val="006319A4"/>
    <w:rsid w:val="006334E1"/>
    <w:rsid w:val="006337C5"/>
    <w:rsid w:val="00634A94"/>
    <w:rsid w:val="0063511D"/>
    <w:rsid w:val="0063551F"/>
    <w:rsid w:val="00635553"/>
    <w:rsid w:val="00635E28"/>
    <w:rsid w:val="0063647C"/>
    <w:rsid w:val="00636887"/>
    <w:rsid w:val="00637646"/>
    <w:rsid w:val="0063790A"/>
    <w:rsid w:val="0063794C"/>
    <w:rsid w:val="00637A3B"/>
    <w:rsid w:val="006406CA"/>
    <w:rsid w:val="00641048"/>
    <w:rsid w:val="006416B9"/>
    <w:rsid w:val="00642123"/>
    <w:rsid w:val="00642E5D"/>
    <w:rsid w:val="0064496F"/>
    <w:rsid w:val="0064513E"/>
    <w:rsid w:val="00645786"/>
    <w:rsid w:val="006460C4"/>
    <w:rsid w:val="006460F7"/>
    <w:rsid w:val="006463A1"/>
    <w:rsid w:val="00646D2B"/>
    <w:rsid w:val="00646F86"/>
    <w:rsid w:val="00647700"/>
    <w:rsid w:val="0064781D"/>
    <w:rsid w:val="00650146"/>
    <w:rsid w:val="00650508"/>
    <w:rsid w:val="00650B1A"/>
    <w:rsid w:val="00650C25"/>
    <w:rsid w:val="00651868"/>
    <w:rsid w:val="006531B9"/>
    <w:rsid w:val="00653E62"/>
    <w:rsid w:val="00653F68"/>
    <w:rsid w:val="00655A13"/>
    <w:rsid w:val="00655A7D"/>
    <w:rsid w:val="00656B93"/>
    <w:rsid w:val="00656FCB"/>
    <w:rsid w:val="006570B2"/>
    <w:rsid w:val="006610BF"/>
    <w:rsid w:val="00661F92"/>
    <w:rsid w:val="00662C13"/>
    <w:rsid w:val="0066305C"/>
    <w:rsid w:val="006639E0"/>
    <w:rsid w:val="00663A52"/>
    <w:rsid w:val="00664240"/>
    <w:rsid w:val="006660EF"/>
    <w:rsid w:val="0066644D"/>
    <w:rsid w:val="00667000"/>
    <w:rsid w:val="00670DEA"/>
    <w:rsid w:val="00670EE7"/>
    <w:rsid w:val="00670F58"/>
    <w:rsid w:val="00671010"/>
    <w:rsid w:val="006712AA"/>
    <w:rsid w:val="00675845"/>
    <w:rsid w:val="00675A77"/>
    <w:rsid w:val="00676016"/>
    <w:rsid w:val="00676248"/>
    <w:rsid w:val="00676E54"/>
    <w:rsid w:val="00677529"/>
    <w:rsid w:val="00680623"/>
    <w:rsid w:val="00681E56"/>
    <w:rsid w:val="00681F25"/>
    <w:rsid w:val="006831EA"/>
    <w:rsid w:val="0068477D"/>
    <w:rsid w:val="006847E0"/>
    <w:rsid w:val="0068532D"/>
    <w:rsid w:val="0068565C"/>
    <w:rsid w:val="00685B8E"/>
    <w:rsid w:val="00685EC2"/>
    <w:rsid w:val="0068669B"/>
    <w:rsid w:val="00686C10"/>
    <w:rsid w:val="00687299"/>
    <w:rsid w:val="0068778A"/>
    <w:rsid w:val="00690265"/>
    <w:rsid w:val="00690926"/>
    <w:rsid w:val="00690DD0"/>
    <w:rsid w:val="00690F58"/>
    <w:rsid w:val="006922F0"/>
    <w:rsid w:val="0069235E"/>
    <w:rsid w:val="00693641"/>
    <w:rsid w:val="00693D68"/>
    <w:rsid w:val="00694165"/>
    <w:rsid w:val="00695B88"/>
    <w:rsid w:val="00696754"/>
    <w:rsid w:val="006972CB"/>
    <w:rsid w:val="00697574"/>
    <w:rsid w:val="006976D4"/>
    <w:rsid w:val="00697723"/>
    <w:rsid w:val="00697F51"/>
    <w:rsid w:val="006A1CE9"/>
    <w:rsid w:val="006A23BE"/>
    <w:rsid w:val="006A4675"/>
    <w:rsid w:val="006A5152"/>
    <w:rsid w:val="006A64C2"/>
    <w:rsid w:val="006A7151"/>
    <w:rsid w:val="006A7351"/>
    <w:rsid w:val="006B0E59"/>
    <w:rsid w:val="006B1E89"/>
    <w:rsid w:val="006B2807"/>
    <w:rsid w:val="006B28F2"/>
    <w:rsid w:val="006B3452"/>
    <w:rsid w:val="006B3DB0"/>
    <w:rsid w:val="006B41AF"/>
    <w:rsid w:val="006B4F87"/>
    <w:rsid w:val="006B61AF"/>
    <w:rsid w:val="006B6537"/>
    <w:rsid w:val="006B6DFF"/>
    <w:rsid w:val="006B7667"/>
    <w:rsid w:val="006B7800"/>
    <w:rsid w:val="006C16F1"/>
    <w:rsid w:val="006C1789"/>
    <w:rsid w:val="006C26EF"/>
    <w:rsid w:val="006C2E46"/>
    <w:rsid w:val="006C2F1B"/>
    <w:rsid w:val="006C67FB"/>
    <w:rsid w:val="006C6DBF"/>
    <w:rsid w:val="006C7013"/>
    <w:rsid w:val="006C7277"/>
    <w:rsid w:val="006C7C19"/>
    <w:rsid w:val="006C7CB0"/>
    <w:rsid w:val="006D14F7"/>
    <w:rsid w:val="006D1D4B"/>
    <w:rsid w:val="006D2058"/>
    <w:rsid w:val="006D7570"/>
    <w:rsid w:val="006E483F"/>
    <w:rsid w:val="006E550D"/>
    <w:rsid w:val="006E669C"/>
    <w:rsid w:val="006E6AF1"/>
    <w:rsid w:val="006E74E9"/>
    <w:rsid w:val="006E7CB1"/>
    <w:rsid w:val="006F075E"/>
    <w:rsid w:val="006F0DEA"/>
    <w:rsid w:val="006F462B"/>
    <w:rsid w:val="006F68EC"/>
    <w:rsid w:val="006F7B7B"/>
    <w:rsid w:val="007003E3"/>
    <w:rsid w:val="007005E9"/>
    <w:rsid w:val="00700684"/>
    <w:rsid w:val="00700808"/>
    <w:rsid w:val="00700DAD"/>
    <w:rsid w:val="007017DC"/>
    <w:rsid w:val="007019B2"/>
    <w:rsid w:val="00701DCB"/>
    <w:rsid w:val="00702302"/>
    <w:rsid w:val="00702612"/>
    <w:rsid w:val="007034C5"/>
    <w:rsid w:val="00703EC5"/>
    <w:rsid w:val="0070405F"/>
    <w:rsid w:val="00704405"/>
    <w:rsid w:val="00704A82"/>
    <w:rsid w:val="007066E7"/>
    <w:rsid w:val="00706B0A"/>
    <w:rsid w:val="00706D2F"/>
    <w:rsid w:val="00707BB9"/>
    <w:rsid w:val="00710315"/>
    <w:rsid w:val="00710727"/>
    <w:rsid w:val="00711A7D"/>
    <w:rsid w:val="0071234B"/>
    <w:rsid w:val="00713339"/>
    <w:rsid w:val="00713587"/>
    <w:rsid w:val="0071462F"/>
    <w:rsid w:val="00714E5E"/>
    <w:rsid w:val="0071560D"/>
    <w:rsid w:val="007157EE"/>
    <w:rsid w:val="00715C67"/>
    <w:rsid w:val="00716068"/>
    <w:rsid w:val="007176F7"/>
    <w:rsid w:val="007209D8"/>
    <w:rsid w:val="0072267A"/>
    <w:rsid w:val="00722EEE"/>
    <w:rsid w:val="00723D2E"/>
    <w:rsid w:val="00723E12"/>
    <w:rsid w:val="00724232"/>
    <w:rsid w:val="00724593"/>
    <w:rsid w:val="00724B10"/>
    <w:rsid w:val="007255A6"/>
    <w:rsid w:val="007256B2"/>
    <w:rsid w:val="00725B37"/>
    <w:rsid w:val="00725B45"/>
    <w:rsid w:val="00725DF1"/>
    <w:rsid w:val="007261F4"/>
    <w:rsid w:val="00726451"/>
    <w:rsid w:val="00726690"/>
    <w:rsid w:val="007269B0"/>
    <w:rsid w:val="007269F2"/>
    <w:rsid w:val="00726A2A"/>
    <w:rsid w:val="007275F1"/>
    <w:rsid w:val="00730072"/>
    <w:rsid w:val="00730756"/>
    <w:rsid w:val="00731A21"/>
    <w:rsid w:val="007327D4"/>
    <w:rsid w:val="00732FC1"/>
    <w:rsid w:val="0073317A"/>
    <w:rsid w:val="00734B3B"/>
    <w:rsid w:val="00734D17"/>
    <w:rsid w:val="007364F6"/>
    <w:rsid w:val="007372A7"/>
    <w:rsid w:val="00737C06"/>
    <w:rsid w:val="00742041"/>
    <w:rsid w:val="00743846"/>
    <w:rsid w:val="00743E43"/>
    <w:rsid w:val="007440F3"/>
    <w:rsid w:val="00744EF3"/>
    <w:rsid w:val="007454C8"/>
    <w:rsid w:val="00745999"/>
    <w:rsid w:val="0074644B"/>
    <w:rsid w:val="007466F4"/>
    <w:rsid w:val="00746F70"/>
    <w:rsid w:val="00747F6F"/>
    <w:rsid w:val="007501BF"/>
    <w:rsid w:val="00750595"/>
    <w:rsid w:val="00750691"/>
    <w:rsid w:val="00750790"/>
    <w:rsid w:val="007539D1"/>
    <w:rsid w:val="007547C7"/>
    <w:rsid w:val="00754BBF"/>
    <w:rsid w:val="00755DD4"/>
    <w:rsid w:val="007562F8"/>
    <w:rsid w:val="00756CB6"/>
    <w:rsid w:val="007570B8"/>
    <w:rsid w:val="00757D00"/>
    <w:rsid w:val="0076003C"/>
    <w:rsid w:val="007602DF"/>
    <w:rsid w:val="007609C3"/>
    <w:rsid w:val="007617D6"/>
    <w:rsid w:val="00761E84"/>
    <w:rsid w:val="007621A8"/>
    <w:rsid w:val="00762ADC"/>
    <w:rsid w:val="00765148"/>
    <w:rsid w:val="007651D5"/>
    <w:rsid w:val="007660EB"/>
    <w:rsid w:val="00767453"/>
    <w:rsid w:val="00770371"/>
    <w:rsid w:val="00772829"/>
    <w:rsid w:val="00774C5A"/>
    <w:rsid w:val="007750C0"/>
    <w:rsid w:val="0077568A"/>
    <w:rsid w:val="00776548"/>
    <w:rsid w:val="007767E2"/>
    <w:rsid w:val="00776D1A"/>
    <w:rsid w:val="0077710B"/>
    <w:rsid w:val="00777B80"/>
    <w:rsid w:val="00777E0C"/>
    <w:rsid w:val="00780BF7"/>
    <w:rsid w:val="007811A1"/>
    <w:rsid w:val="0078418B"/>
    <w:rsid w:val="00784720"/>
    <w:rsid w:val="007862BA"/>
    <w:rsid w:val="00787654"/>
    <w:rsid w:val="00787DFD"/>
    <w:rsid w:val="00790164"/>
    <w:rsid w:val="00791348"/>
    <w:rsid w:val="007923FE"/>
    <w:rsid w:val="00792464"/>
    <w:rsid w:val="00793722"/>
    <w:rsid w:val="007937F2"/>
    <w:rsid w:val="00793CAF"/>
    <w:rsid w:val="007958EC"/>
    <w:rsid w:val="00795A00"/>
    <w:rsid w:val="00795F26"/>
    <w:rsid w:val="00795F66"/>
    <w:rsid w:val="00796ED4"/>
    <w:rsid w:val="00797229"/>
    <w:rsid w:val="00797596"/>
    <w:rsid w:val="007A24E7"/>
    <w:rsid w:val="007A359F"/>
    <w:rsid w:val="007A37D4"/>
    <w:rsid w:val="007A428F"/>
    <w:rsid w:val="007A440F"/>
    <w:rsid w:val="007A5B2B"/>
    <w:rsid w:val="007A63F0"/>
    <w:rsid w:val="007A6832"/>
    <w:rsid w:val="007A6CCE"/>
    <w:rsid w:val="007A741F"/>
    <w:rsid w:val="007A7D28"/>
    <w:rsid w:val="007B18AD"/>
    <w:rsid w:val="007B1AEC"/>
    <w:rsid w:val="007B2842"/>
    <w:rsid w:val="007B3703"/>
    <w:rsid w:val="007B441A"/>
    <w:rsid w:val="007B444D"/>
    <w:rsid w:val="007B45DE"/>
    <w:rsid w:val="007B6226"/>
    <w:rsid w:val="007B632F"/>
    <w:rsid w:val="007B71A0"/>
    <w:rsid w:val="007B78A6"/>
    <w:rsid w:val="007B79A8"/>
    <w:rsid w:val="007C0131"/>
    <w:rsid w:val="007C052E"/>
    <w:rsid w:val="007C0BB9"/>
    <w:rsid w:val="007C1446"/>
    <w:rsid w:val="007C1666"/>
    <w:rsid w:val="007C2DD3"/>
    <w:rsid w:val="007C4F72"/>
    <w:rsid w:val="007C541C"/>
    <w:rsid w:val="007C76A6"/>
    <w:rsid w:val="007C7BD3"/>
    <w:rsid w:val="007D0F6A"/>
    <w:rsid w:val="007D16FA"/>
    <w:rsid w:val="007D1A20"/>
    <w:rsid w:val="007D1AB2"/>
    <w:rsid w:val="007D1E13"/>
    <w:rsid w:val="007D22F0"/>
    <w:rsid w:val="007D2DE0"/>
    <w:rsid w:val="007D3F54"/>
    <w:rsid w:val="007D4233"/>
    <w:rsid w:val="007D46EB"/>
    <w:rsid w:val="007D5527"/>
    <w:rsid w:val="007E04CA"/>
    <w:rsid w:val="007E081D"/>
    <w:rsid w:val="007E1A60"/>
    <w:rsid w:val="007E206D"/>
    <w:rsid w:val="007E2CD3"/>
    <w:rsid w:val="007E32C0"/>
    <w:rsid w:val="007E38C5"/>
    <w:rsid w:val="007E4FF1"/>
    <w:rsid w:val="007E5523"/>
    <w:rsid w:val="007E5F60"/>
    <w:rsid w:val="007E637B"/>
    <w:rsid w:val="007E7701"/>
    <w:rsid w:val="007F04C4"/>
    <w:rsid w:val="007F0A85"/>
    <w:rsid w:val="007F10F3"/>
    <w:rsid w:val="007F11C2"/>
    <w:rsid w:val="007F1FBE"/>
    <w:rsid w:val="007F3401"/>
    <w:rsid w:val="007F3C16"/>
    <w:rsid w:val="007F48A9"/>
    <w:rsid w:val="007F48AF"/>
    <w:rsid w:val="007F6B20"/>
    <w:rsid w:val="007F6C55"/>
    <w:rsid w:val="007F78F9"/>
    <w:rsid w:val="00800A46"/>
    <w:rsid w:val="00800F6D"/>
    <w:rsid w:val="00802F9A"/>
    <w:rsid w:val="008030E7"/>
    <w:rsid w:val="008034B0"/>
    <w:rsid w:val="008036A9"/>
    <w:rsid w:val="00805B54"/>
    <w:rsid w:val="008072D6"/>
    <w:rsid w:val="0080748D"/>
    <w:rsid w:val="00807FE5"/>
    <w:rsid w:val="0081047A"/>
    <w:rsid w:val="00810632"/>
    <w:rsid w:val="00810B69"/>
    <w:rsid w:val="00810F19"/>
    <w:rsid w:val="008119BB"/>
    <w:rsid w:val="00812775"/>
    <w:rsid w:val="0081378B"/>
    <w:rsid w:val="00814216"/>
    <w:rsid w:val="00814D8C"/>
    <w:rsid w:val="00815C1D"/>
    <w:rsid w:val="00815E17"/>
    <w:rsid w:val="00816081"/>
    <w:rsid w:val="00817C05"/>
    <w:rsid w:val="00817CB3"/>
    <w:rsid w:val="00817D11"/>
    <w:rsid w:val="00820373"/>
    <w:rsid w:val="008211F8"/>
    <w:rsid w:val="0082278D"/>
    <w:rsid w:val="00823050"/>
    <w:rsid w:val="00824A40"/>
    <w:rsid w:val="00824C8C"/>
    <w:rsid w:val="00824FDC"/>
    <w:rsid w:val="008251F4"/>
    <w:rsid w:val="008253EC"/>
    <w:rsid w:val="00825487"/>
    <w:rsid w:val="008254F1"/>
    <w:rsid w:val="008255D8"/>
    <w:rsid w:val="008258BF"/>
    <w:rsid w:val="0082651B"/>
    <w:rsid w:val="00827786"/>
    <w:rsid w:val="00827947"/>
    <w:rsid w:val="00827C51"/>
    <w:rsid w:val="008300FF"/>
    <w:rsid w:val="0083024B"/>
    <w:rsid w:val="00830545"/>
    <w:rsid w:val="00830751"/>
    <w:rsid w:val="00830990"/>
    <w:rsid w:val="00831777"/>
    <w:rsid w:val="00833D4B"/>
    <w:rsid w:val="00834115"/>
    <w:rsid w:val="00834A99"/>
    <w:rsid w:val="008367D3"/>
    <w:rsid w:val="00836BCC"/>
    <w:rsid w:val="00837516"/>
    <w:rsid w:val="00841573"/>
    <w:rsid w:val="00842C8E"/>
    <w:rsid w:val="00842E7A"/>
    <w:rsid w:val="0084439A"/>
    <w:rsid w:val="008443ED"/>
    <w:rsid w:val="008446C2"/>
    <w:rsid w:val="0084593A"/>
    <w:rsid w:val="00845F07"/>
    <w:rsid w:val="00847ACB"/>
    <w:rsid w:val="00847BF6"/>
    <w:rsid w:val="00850227"/>
    <w:rsid w:val="008506BB"/>
    <w:rsid w:val="00850E4F"/>
    <w:rsid w:val="00851297"/>
    <w:rsid w:val="008512B1"/>
    <w:rsid w:val="008513D8"/>
    <w:rsid w:val="00851532"/>
    <w:rsid w:val="00851E29"/>
    <w:rsid w:val="008529DE"/>
    <w:rsid w:val="00854751"/>
    <w:rsid w:val="008548D1"/>
    <w:rsid w:val="0085493A"/>
    <w:rsid w:val="00854E51"/>
    <w:rsid w:val="00855303"/>
    <w:rsid w:val="00855AB8"/>
    <w:rsid w:val="00856514"/>
    <w:rsid w:val="00856A6C"/>
    <w:rsid w:val="00856AC5"/>
    <w:rsid w:val="0085767A"/>
    <w:rsid w:val="00860F90"/>
    <w:rsid w:val="00861A56"/>
    <w:rsid w:val="00861A75"/>
    <w:rsid w:val="00861FA6"/>
    <w:rsid w:val="00862069"/>
    <w:rsid w:val="008622D5"/>
    <w:rsid w:val="0086248F"/>
    <w:rsid w:val="008626C2"/>
    <w:rsid w:val="00863256"/>
    <w:rsid w:val="00863FA1"/>
    <w:rsid w:val="00864277"/>
    <w:rsid w:val="00866B10"/>
    <w:rsid w:val="00867DA8"/>
    <w:rsid w:val="0087038A"/>
    <w:rsid w:val="00870415"/>
    <w:rsid w:val="00870579"/>
    <w:rsid w:val="00870DDC"/>
    <w:rsid w:val="008731EA"/>
    <w:rsid w:val="00873305"/>
    <w:rsid w:val="0087330B"/>
    <w:rsid w:val="008739CF"/>
    <w:rsid w:val="00874070"/>
    <w:rsid w:val="00874115"/>
    <w:rsid w:val="008743CE"/>
    <w:rsid w:val="008755E6"/>
    <w:rsid w:val="00875BDF"/>
    <w:rsid w:val="00875CFC"/>
    <w:rsid w:val="00875E99"/>
    <w:rsid w:val="00876F10"/>
    <w:rsid w:val="008776C6"/>
    <w:rsid w:val="00877BB1"/>
    <w:rsid w:val="00877C86"/>
    <w:rsid w:val="008805E8"/>
    <w:rsid w:val="00883A6E"/>
    <w:rsid w:val="00883F65"/>
    <w:rsid w:val="008854A5"/>
    <w:rsid w:val="008854B7"/>
    <w:rsid w:val="00885898"/>
    <w:rsid w:val="00885D8B"/>
    <w:rsid w:val="00885F69"/>
    <w:rsid w:val="00886CFF"/>
    <w:rsid w:val="008879EF"/>
    <w:rsid w:val="00890686"/>
    <w:rsid w:val="00890A88"/>
    <w:rsid w:val="00890FC0"/>
    <w:rsid w:val="008924E6"/>
    <w:rsid w:val="00892C30"/>
    <w:rsid w:val="00892C89"/>
    <w:rsid w:val="00893604"/>
    <w:rsid w:val="00894494"/>
    <w:rsid w:val="008954D2"/>
    <w:rsid w:val="00895695"/>
    <w:rsid w:val="00896966"/>
    <w:rsid w:val="00896ADC"/>
    <w:rsid w:val="00897967"/>
    <w:rsid w:val="008A1120"/>
    <w:rsid w:val="008A13A6"/>
    <w:rsid w:val="008A1BF0"/>
    <w:rsid w:val="008A1C37"/>
    <w:rsid w:val="008A377D"/>
    <w:rsid w:val="008A48B4"/>
    <w:rsid w:val="008A5435"/>
    <w:rsid w:val="008A566F"/>
    <w:rsid w:val="008A601A"/>
    <w:rsid w:val="008A6073"/>
    <w:rsid w:val="008A720A"/>
    <w:rsid w:val="008B1041"/>
    <w:rsid w:val="008B2404"/>
    <w:rsid w:val="008B28F3"/>
    <w:rsid w:val="008B342C"/>
    <w:rsid w:val="008B37D6"/>
    <w:rsid w:val="008B422D"/>
    <w:rsid w:val="008B5292"/>
    <w:rsid w:val="008B5A73"/>
    <w:rsid w:val="008C0359"/>
    <w:rsid w:val="008C03E9"/>
    <w:rsid w:val="008C08B9"/>
    <w:rsid w:val="008C0E2B"/>
    <w:rsid w:val="008C2397"/>
    <w:rsid w:val="008C26BE"/>
    <w:rsid w:val="008C2703"/>
    <w:rsid w:val="008C2ED8"/>
    <w:rsid w:val="008C383F"/>
    <w:rsid w:val="008C3A0A"/>
    <w:rsid w:val="008C4442"/>
    <w:rsid w:val="008C50B3"/>
    <w:rsid w:val="008C5C1A"/>
    <w:rsid w:val="008C5F4C"/>
    <w:rsid w:val="008C632C"/>
    <w:rsid w:val="008C7939"/>
    <w:rsid w:val="008C7B08"/>
    <w:rsid w:val="008D1952"/>
    <w:rsid w:val="008D1B77"/>
    <w:rsid w:val="008D2667"/>
    <w:rsid w:val="008D38A1"/>
    <w:rsid w:val="008D3FC8"/>
    <w:rsid w:val="008D47C5"/>
    <w:rsid w:val="008D6A71"/>
    <w:rsid w:val="008D70CA"/>
    <w:rsid w:val="008D758A"/>
    <w:rsid w:val="008E1250"/>
    <w:rsid w:val="008E1DE8"/>
    <w:rsid w:val="008E256B"/>
    <w:rsid w:val="008E3727"/>
    <w:rsid w:val="008E394E"/>
    <w:rsid w:val="008E3F1E"/>
    <w:rsid w:val="008E50F2"/>
    <w:rsid w:val="008E53E8"/>
    <w:rsid w:val="008E75E2"/>
    <w:rsid w:val="008E7C4E"/>
    <w:rsid w:val="008F0AFC"/>
    <w:rsid w:val="008F15E3"/>
    <w:rsid w:val="008F21F6"/>
    <w:rsid w:val="008F2CBB"/>
    <w:rsid w:val="008F3440"/>
    <w:rsid w:val="008F402C"/>
    <w:rsid w:val="008F42F4"/>
    <w:rsid w:val="008F5CAF"/>
    <w:rsid w:val="008F5D91"/>
    <w:rsid w:val="008F5E2D"/>
    <w:rsid w:val="00900320"/>
    <w:rsid w:val="00900403"/>
    <w:rsid w:val="0090086F"/>
    <w:rsid w:val="009008EA"/>
    <w:rsid w:val="00900E32"/>
    <w:rsid w:val="00900FDC"/>
    <w:rsid w:val="0090183C"/>
    <w:rsid w:val="00901A49"/>
    <w:rsid w:val="009027C5"/>
    <w:rsid w:val="00902C19"/>
    <w:rsid w:val="009031F0"/>
    <w:rsid w:val="00903525"/>
    <w:rsid w:val="00903B04"/>
    <w:rsid w:val="00903EE6"/>
    <w:rsid w:val="00904033"/>
    <w:rsid w:val="009045BC"/>
    <w:rsid w:val="009054AC"/>
    <w:rsid w:val="00905748"/>
    <w:rsid w:val="0090642C"/>
    <w:rsid w:val="00906729"/>
    <w:rsid w:val="009105C9"/>
    <w:rsid w:val="00910C57"/>
    <w:rsid w:val="00911BC2"/>
    <w:rsid w:val="00911BCD"/>
    <w:rsid w:val="00911CBD"/>
    <w:rsid w:val="00912DD1"/>
    <w:rsid w:val="00913023"/>
    <w:rsid w:val="0091303B"/>
    <w:rsid w:val="00914256"/>
    <w:rsid w:val="00914A9B"/>
    <w:rsid w:val="00914CBA"/>
    <w:rsid w:val="00915207"/>
    <w:rsid w:val="009156DD"/>
    <w:rsid w:val="00916265"/>
    <w:rsid w:val="009166E4"/>
    <w:rsid w:val="00917E9B"/>
    <w:rsid w:val="00920659"/>
    <w:rsid w:val="0092127E"/>
    <w:rsid w:val="00921B67"/>
    <w:rsid w:val="00921EC3"/>
    <w:rsid w:val="00922DB5"/>
    <w:rsid w:val="0092307A"/>
    <w:rsid w:val="0092401B"/>
    <w:rsid w:val="00924D5F"/>
    <w:rsid w:val="00925518"/>
    <w:rsid w:val="00930049"/>
    <w:rsid w:val="00932610"/>
    <w:rsid w:val="0093320B"/>
    <w:rsid w:val="0093383C"/>
    <w:rsid w:val="009343ED"/>
    <w:rsid w:val="009347B5"/>
    <w:rsid w:val="00935793"/>
    <w:rsid w:val="00935C87"/>
    <w:rsid w:val="00936833"/>
    <w:rsid w:val="00936CD7"/>
    <w:rsid w:val="009377F9"/>
    <w:rsid w:val="00937902"/>
    <w:rsid w:val="00937C89"/>
    <w:rsid w:val="00941FE9"/>
    <w:rsid w:val="00942F8E"/>
    <w:rsid w:val="00943985"/>
    <w:rsid w:val="00945374"/>
    <w:rsid w:val="009455B1"/>
    <w:rsid w:val="00945BBF"/>
    <w:rsid w:val="00945FC6"/>
    <w:rsid w:val="00946CCB"/>
    <w:rsid w:val="00946E04"/>
    <w:rsid w:val="0094752B"/>
    <w:rsid w:val="00950858"/>
    <w:rsid w:val="009510EF"/>
    <w:rsid w:val="00952DC2"/>
    <w:rsid w:val="009546D9"/>
    <w:rsid w:val="00954EAB"/>
    <w:rsid w:val="00954F5A"/>
    <w:rsid w:val="009554FA"/>
    <w:rsid w:val="00955AA1"/>
    <w:rsid w:val="00957180"/>
    <w:rsid w:val="009576D9"/>
    <w:rsid w:val="009577CD"/>
    <w:rsid w:val="00957EF4"/>
    <w:rsid w:val="00962450"/>
    <w:rsid w:val="00963837"/>
    <w:rsid w:val="00963AC2"/>
    <w:rsid w:val="00963F34"/>
    <w:rsid w:val="0096405C"/>
    <w:rsid w:val="00964272"/>
    <w:rsid w:val="00964977"/>
    <w:rsid w:val="009656A3"/>
    <w:rsid w:val="00965828"/>
    <w:rsid w:val="00965DD6"/>
    <w:rsid w:val="00967A9D"/>
    <w:rsid w:val="009709AA"/>
    <w:rsid w:val="0097149D"/>
    <w:rsid w:val="0097186C"/>
    <w:rsid w:val="00973618"/>
    <w:rsid w:val="009737C3"/>
    <w:rsid w:val="0097443C"/>
    <w:rsid w:val="009744F8"/>
    <w:rsid w:val="009747F5"/>
    <w:rsid w:val="00975365"/>
    <w:rsid w:val="00976EA9"/>
    <w:rsid w:val="009812D9"/>
    <w:rsid w:val="009813D4"/>
    <w:rsid w:val="00981A00"/>
    <w:rsid w:val="00981C8C"/>
    <w:rsid w:val="00981DEC"/>
    <w:rsid w:val="009823CB"/>
    <w:rsid w:val="00983E2E"/>
    <w:rsid w:val="00984426"/>
    <w:rsid w:val="0098511A"/>
    <w:rsid w:val="009868CD"/>
    <w:rsid w:val="00987992"/>
    <w:rsid w:val="009905F2"/>
    <w:rsid w:val="00990C7F"/>
    <w:rsid w:val="0099162C"/>
    <w:rsid w:val="00991C97"/>
    <w:rsid w:val="009921CD"/>
    <w:rsid w:val="00992854"/>
    <w:rsid w:val="00992BE1"/>
    <w:rsid w:val="0099313C"/>
    <w:rsid w:val="00994141"/>
    <w:rsid w:val="009948CE"/>
    <w:rsid w:val="00996354"/>
    <w:rsid w:val="009968AB"/>
    <w:rsid w:val="00996EE9"/>
    <w:rsid w:val="00997D3C"/>
    <w:rsid w:val="009A056C"/>
    <w:rsid w:val="009A1767"/>
    <w:rsid w:val="009A24C8"/>
    <w:rsid w:val="009A2B64"/>
    <w:rsid w:val="009A3202"/>
    <w:rsid w:val="009A32CD"/>
    <w:rsid w:val="009A3ADA"/>
    <w:rsid w:val="009A4728"/>
    <w:rsid w:val="009A4E96"/>
    <w:rsid w:val="009A4E9A"/>
    <w:rsid w:val="009A6689"/>
    <w:rsid w:val="009B0A61"/>
    <w:rsid w:val="009B0B2D"/>
    <w:rsid w:val="009B2AD8"/>
    <w:rsid w:val="009B2FC3"/>
    <w:rsid w:val="009B3E23"/>
    <w:rsid w:val="009B66F6"/>
    <w:rsid w:val="009B66F7"/>
    <w:rsid w:val="009B7BDC"/>
    <w:rsid w:val="009C07BC"/>
    <w:rsid w:val="009C0C36"/>
    <w:rsid w:val="009C17AD"/>
    <w:rsid w:val="009C1DD8"/>
    <w:rsid w:val="009C2225"/>
    <w:rsid w:val="009C28E7"/>
    <w:rsid w:val="009C4047"/>
    <w:rsid w:val="009C5AF3"/>
    <w:rsid w:val="009C68A7"/>
    <w:rsid w:val="009C7143"/>
    <w:rsid w:val="009D117E"/>
    <w:rsid w:val="009D168B"/>
    <w:rsid w:val="009D20AA"/>
    <w:rsid w:val="009D471F"/>
    <w:rsid w:val="009D4903"/>
    <w:rsid w:val="009D4B9B"/>
    <w:rsid w:val="009D5D52"/>
    <w:rsid w:val="009D6CFB"/>
    <w:rsid w:val="009D7B16"/>
    <w:rsid w:val="009E00E3"/>
    <w:rsid w:val="009E1188"/>
    <w:rsid w:val="009E1B47"/>
    <w:rsid w:val="009E1DFA"/>
    <w:rsid w:val="009E29E6"/>
    <w:rsid w:val="009E308D"/>
    <w:rsid w:val="009E3DC7"/>
    <w:rsid w:val="009E3E75"/>
    <w:rsid w:val="009E3EEE"/>
    <w:rsid w:val="009E4AB2"/>
    <w:rsid w:val="009E6397"/>
    <w:rsid w:val="009E64CB"/>
    <w:rsid w:val="009E77B0"/>
    <w:rsid w:val="009E7CFE"/>
    <w:rsid w:val="009F04C0"/>
    <w:rsid w:val="009F305D"/>
    <w:rsid w:val="009F388C"/>
    <w:rsid w:val="009F42CA"/>
    <w:rsid w:val="009F4615"/>
    <w:rsid w:val="009F50CB"/>
    <w:rsid w:val="009F5347"/>
    <w:rsid w:val="009F5A09"/>
    <w:rsid w:val="009F77AC"/>
    <w:rsid w:val="009F7BBE"/>
    <w:rsid w:val="009F7FBB"/>
    <w:rsid w:val="00A01886"/>
    <w:rsid w:val="00A029AA"/>
    <w:rsid w:val="00A043C9"/>
    <w:rsid w:val="00A04C1A"/>
    <w:rsid w:val="00A059B1"/>
    <w:rsid w:val="00A059EC"/>
    <w:rsid w:val="00A06648"/>
    <w:rsid w:val="00A0670F"/>
    <w:rsid w:val="00A068D1"/>
    <w:rsid w:val="00A06995"/>
    <w:rsid w:val="00A06B5F"/>
    <w:rsid w:val="00A07DC4"/>
    <w:rsid w:val="00A10A65"/>
    <w:rsid w:val="00A10A6F"/>
    <w:rsid w:val="00A1185B"/>
    <w:rsid w:val="00A11F0F"/>
    <w:rsid w:val="00A13002"/>
    <w:rsid w:val="00A134AD"/>
    <w:rsid w:val="00A13CFC"/>
    <w:rsid w:val="00A13D4D"/>
    <w:rsid w:val="00A1502A"/>
    <w:rsid w:val="00A153EC"/>
    <w:rsid w:val="00A15562"/>
    <w:rsid w:val="00A1736B"/>
    <w:rsid w:val="00A1737F"/>
    <w:rsid w:val="00A175BF"/>
    <w:rsid w:val="00A204CD"/>
    <w:rsid w:val="00A20DF7"/>
    <w:rsid w:val="00A21922"/>
    <w:rsid w:val="00A22BE4"/>
    <w:rsid w:val="00A2442D"/>
    <w:rsid w:val="00A24F82"/>
    <w:rsid w:val="00A2565D"/>
    <w:rsid w:val="00A277F6"/>
    <w:rsid w:val="00A30AD7"/>
    <w:rsid w:val="00A33410"/>
    <w:rsid w:val="00A33BC7"/>
    <w:rsid w:val="00A34E83"/>
    <w:rsid w:val="00A35C0D"/>
    <w:rsid w:val="00A363F1"/>
    <w:rsid w:val="00A37745"/>
    <w:rsid w:val="00A37AB6"/>
    <w:rsid w:val="00A41250"/>
    <w:rsid w:val="00A421B6"/>
    <w:rsid w:val="00A4228E"/>
    <w:rsid w:val="00A42BDC"/>
    <w:rsid w:val="00A440FF"/>
    <w:rsid w:val="00A44181"/>
    <w:rsid w:val="00A44262"/>
    <w:rsid w:val="00A4444F"/>
    <w:rsid w:val="00A446BE"/>
    <w:rsid w:val="00A44D94"/>
    <w:rsid w:val="00A452B7"/>
    <w:rsid w:val="00A45B2F"/>
    <w:rsid w:val="00A4652C"/>
    <w:rsid w:val="00A46E35"/>
    <w:rsid w:val="00A47B0E"/>
    <w:rsid w:val="00A47DC1"/>
    <w:rsid w:val="00A47EFC"/>
    <w:rsid w:val="00A5000B"/>
    <w:rsid w:val="00A50BDB"/>
    <w:rsid w:val="00A51554"/>
    <w:rsid w:val="00A519AE"/>
    <w:rsid w:val="00A52005"/>
    <w:rsid w:val="00A52144"/>
    <w:rsid w:val="00A53EDE"/>
    <w:rsid w:val="00A5442E"/>
    <w:rsid w:val="00A548BA"/>
    <w:rsid w:val="00A54BF4"/>
    <w:rsid w:val="00A54D39"/>
    <w:rsid w:val="00A54D83"/>
    <w:rsid w:val="00A5565A"/>
    <w:rsid w:val="00A560B8"/>
    <w:rsid w:val="00A5644E"/>
    <w:rsid w:val="00A56553"/>
    <w:rsid w:val="00A56982"/>
    <w:rsid w:val="00A60190"/>
    <w:rsid w:val="00A6093E"/>
    <w:rsid w:val="00A610F4"/>
    <w:rsid w:val="00A61D2F"/>
    <w:rsid w:val="00A61FF6"/>
    <w:rsid w:val="00A62057"/>
    <w:rsid w:val="00A620D4"/>
    <w:rsid w:val="00A62154"/>
    <w:rsid w:val="00A621F4"/>
    <w:rsid w:val="00A62CD2"/>
    <w:rsid w:val="00A63232"/>
    <w:rsid w:val="00A63835"/>
    <w:rsid w:val="00A648E7"/>
    <w:rsid w:val="00A65461"/>
    <w:rsid w:val="00A65C5F"/>
    <w:rsid w:val="00A664BF"/>
    <w:rsid w:val="00A707CF"/>
    <w:rsid w:val="00A7122F"/>
    <w:rsid w:val="00A7151A"/>
    <w:rsid w:val="00A715B0"/>
    <w:rsid w:val="00A716A9"/>
    <w:rsid w:val="00A73F21"/>
    <w:rsid w:val="00A7612B"/>
    <w:rsid w:val="00A7658F"/>
    <w:rsid w:val="00A7689F"/>
    <w:rsid w:val="00A80D80"/>
    <w:rsid w:val="00A82C95"/>
    <w:rsid w:val="00A82D92"/>
    <w:rsid w:val="00A82F13"/>
    <w:rsid w:val="00A84A53"/>
    <w:rsid w:val="00A84B9D"/>
    <w:rsid w:val="00A8542F"/>
    <w:rsid w:val="00A862A0"/>
    <w:rsid w:val="00A86D76"/>
    <w:rsid w:val="00A923BD"/>
    <w:rsid w:val="00A92FF1"/>
    <w:rsid w:val="00A93895"/>
    <w:rsid w:val="00A9474A"/>
    <w:rsid w:val="00A96F4A"/>
    <w:rsid w:val="00A97132"/>
    <w:rsid w:val="00AA0C2E"/>
    <w:rsid w:val="00AA375C"/>
    <w:rsid w:val="00AA4901"/>
    <w:rsid w:val="00AA4A0E"/>
    <w:rsid w:val="00AA5ADF"/>
    <w:rsid w:val="00AA6518"/>
    <w:rsid w:val="00AB1034"/>
    <w:rsid w:val="00AB10E5"/>
    <w:rsid w:val="00AB2223"/>
    <w:rsid w:val="00AB29D8"/>
    <w:rsid w:val="00AB2DC9"/>
    <w:rsid w:val="00AB3C96"/>
    <w:rsid w:val="00AB4ED2"/>
    <w:rsid w:val="00AB51FB"/>
    <w:rsid w:val="00AB6CF2"/>
    <w:rsid w:val="00AB6FD0"/>
    <w:rsid w:val="00AB7E4F"/>
    <w:rsid w:val="00AC1EE7"/>
    <w:rsid w:val="00AC22F0"/>
    <w:rsid w:val="00AC265D"/>
    <w:rsid w:val="00AC27A7"/>
    <w:rsid w:val="00AC2FFB"/>
    <w:rsid w:val="00AC35AB"/>
    <w:rsid w:val="00AC3BA5"/>
    <w:rsid w:val="00AC476D"/>
    <w:rsid w:val="00AC608B"/>
    <w:rsid w:val="00AC6239"/>
    <w:rsid w:val="00AC6DF7"/>
    <w:rsid w:val="00AC738C"/>
    <w:rsid w:val="00AC7494"/>
    <w:rsid w:val="00AC75FB"/>
    <w:rsid w:val="00AD2B21"/>
    <w:rsid w:val="00AD2CC7"/>
    <w:rsid w:val="00AD2F46"/>
    <w:rsid w:val="00AD3057"/>
    <w:rsid w:val="00AD4B2E"/>
    <w:rsid w:val="00AD4F4D"/>
    <w:rsid w:val="00AD5DA7"/>
    <w:rsid w:val="00AD648E"/>
    <w:rsid w:val="00AD6DB9"/>
    <w:rsid w:val="00AE0A8A"/>
    <w:rsid w:val="00AE1984"/>
    <w:rsid w:val="00AE1CE1"/>
    <w:rsid w:val="00AE2EBE"/>
    <w:rsid w:val="00AE4381"/>
    <w:rsid w:val="00AE664B"/>
    <w:rsid w:val="00AE6E32"/>
    <w:rsid w:val="00AF0607"/>
    <w:rsid w:val="00AF167D"/>
    <w:rsid w:val="00AF1F63"/>
    <w:rsid w:val="00AF372D"/>
    <w:rsid w:val="00AF3DFA"/>
    <w:rsid w:val="00AF40B0"/>
    <w:rsid w:val="00AF433C"/>
    <w:rsid w:val="00AF57EB"/>
    <w:rsid w:val="00AF61AE"/>
    <w:rsid w:val="00AF673A"/>
    <w:rsid w:val="00B00C87"/>
    <w:rsid w:val="00B0124F"/>
    <w:rsid w:val="00B0126C"/>
    <w:rsid w:val="00B013FB"/>
    <w:rsid w:val="00B018A5"/>
    <w:rsid w:val="00B02D20"/>
    <w:rsid w:val="00B03087"/>
    <w:rsid w:val="00B030AE"/>
    <w:rsid w:val="00B049B3"/>
    <w:rsid w:val="00B05DD0"/>
    <w:rsid w:val="00B06294"/>
    <w:rsid w:val="00B06B04"/>
    <w:rsid w:val="00B07301"/>
    <w:rsid w:val="00B073CB"/>
    <w:rsid w:val="00B10E8E"/>
    <w:rsid w:val="00B110A2"/>
    <w:rsid w:val="00B12C05"/>
    <w:rsid w:val="00B1304C"/>
    <w:rsid w:val="00B13354"/>
    <w:rsid w:val="00B13CD6"/>
    <w:rsid w:val="00B13FE2"/>
    <w:rsid w:val="00B14391"/>
    <w:rsid w:val="00B1462D"/>
    <w:rsid w:val="00B14728"/>
    <w:rsid w:val="00B16257"/>
    <w:rsid w:val="00B204CE"/>
    <w:rsid w:val="00B20617"/>
    <w:rsid w:val="00B2090F"/>
    <w:rsid w:val="00B20A4C"/>
    <w:rsid w:val="00B20D6D"/>
    <w:rsid w:val="00B212B0"/>
    <w:rsid w:val="00B2172C"/>
    <w:rsid w:val="00B2173A"/>
    <w:rsid w:val="00B217CE"/>
    <w:rsid w:val="00B21B4D"/>
    <w:rsid w:val="00B22F3E"/>
    <w:rsid w:val="00B2319E"/>
    <w:rsid w:val="00B23283"/>
    <w:rsid w:val="00B24CB7"/>
    <w:rsid w:val="00B26D07"/>
    <w:rsid w:val="00B301DA"/>
    <w:rsid w:val="00B3038D"/>
    <w:rsid w:val="00B3126D"/>
    <w:rsid w:val="00B31DB0"/>
    <w:rsid w:val="00B322E2"/>
    <w:rsid w:val="00B32B4A"/>
    <w:rsid w:val="00B32C5A"/>
    <w:rsid w:val="00B32F59"/>
    <w:rsid w:val="00B35CDA"/>
    <w:rsid w:val="00B3619C"/>
    <w:rsid w:val="00B36E34"/>
    <w:rsid w:val="00B372F4"/>
    <w:rsid w:val="00B373FA"/>
    <w:rsid w:val="00B3748A"/>
    <w:rsid w:val="00B4032E"/>
    <w:rsid w:val="00B4046D"/>
    <w:rsid w:val="00B406B2"/>
    <w:rsid w:val="00B408CC"/>
    <w:rsid w:val="00B40946"/>
    <w:rsid w:val="00B4182F"/>
    <w:rsid w:val="00B422B2"/>
    <w:rsid w:val="00B425E4"/>
    <w:rsid w:val="00B42673"/>
    <w:rsid w:val="00B428D5"/>
    <w:rsid w:val="00B42A78"/>
    <w:rsid w:val="00B42E43"/>
    <w:rsid w:val="00B453D9"/>
    <w:rsid w:val="00B45CD3"/>
    <w:rsid w:val="00B45E57"/>
    <w:rsid w:val="00B467BF"/>
    <w:rsid w:val="00B473E1"/>
    <w:rsid w:val="00B47A95"/>
    <w:rsid w:val="00B47B55"/>
    <w:rsid w:val="00B50705"/>
    <w:rsid w:val="00B50E68"/>
    <w:rsid w:val="00B5130C"/>
    <w:rsid w:val="00B513C6"/>
    <w:rsid w:val="00B52393"/>
    <w:rsid w:val="00B52CCB"/>
    <w:rsid w:val="00B53126"/>
    <w:rsid w:val="00B53BB7"/>
    <w:rsid w:val="00B53BFE"/>
    <w:rsid w:val="00B54462"/>
    <w:rsid w:val="00B54B36"/>
    <w:rsid w:val="00B54C5F"/>
    <w:rsid w:val="00B54CFC"/>
    <w:rsid w:val="00B55132"/>
    <w:rsid w:val="00B551B1"/>
    <w:rsid w:val="00B560D1"/>
    <w:rsid w:val="00B562A2"/>
    <w:rsid w:val="00B5784F"/>
    <w:rsid w:val="00B578E1"/>
    <w:rsid w:val="00B6047B"/>
    <w:rsid w:val="00B604E9"/>
    <w:rsid w:val="00B60696"/>
    <w:rsid w:val="00B609B2"/>
    <w:rsid w:val="00B6148C"/>
    <w:rsid w:val="00B6197B"/>
    <w:rsid w:val="00B632E3"/>
    <w:rsid w:val="00B64A7F"/>
    <w:rsid w:val="00B6500E"/>
    <w:rsid w:val="00B65556"/>
    <w:rsid w:val="00B674CE"/>
    <w:rsid w:val="00B679CC"/>
    <w:rsid w:val="00B67BBF"/>
    <w:rsid w:val="00B700D1"/>
    <w:rsid w:val="00B711E2"/>
    <w:rsid w:val="00B73280"/>
    <w:rsid w:val="00B74815"/>
    <w:rsid w:val="00B76040"/>
    <w:rsid w:val="00B761A7"/>
    <w:rsid w:val="00B764C9"/>
    <w:rsid w:val="00B767AC"/>
    <w:rsid w:val="00B7710B"/>
    <w:rsid w:val="00B777F5"/>
    <w:rsid w:val="00B80547"/>
    <w:rsid w:val="00B80796"/>
    <w:rsid w:val="00B82C43"/>
    <w:rsid w:val="00B82CBB"/>
    <w:rsid w:val="00B82DD1"/>
    <w:rsid w:val="00B83A9E"/>
    <w:rsid w:val="00B841A7"/>
    <w:rsid w:val="00B84990"/>
    <w:rsid w:val="00B849A3"/>
    <w:rsid w:val="00B851B0"/>
    <w:rsid w:val="00B86F20"/>
    <w:rsid w:val="00B87933"/>
    <w:rsid w:val="00B87DAC"/>
    <w:rsid w:val="00B90F0A"/>
    <w:rsid w:val="00B91054"/>
    <w:rsid w:val="00B91E45"/>
    <w:rsid w:val="00B92398"/>
    <w:rsid w:val="00B93DEB"/>
    <w:rsid w:val="00B9494E"/>
    <w:rsid w:val="00B94CF9"/>
    <w:rsid w:val="00B957EC"/>
    <w:rsid w:val="00B95839"/>
    <w:rsid w:val="00BA08E8"/>
    <w:rsid w:val="00BA0947"/>
    <w:rsid w:val="00BA0E7D"/>
    <w:rsid w:val="00BA0FFA"/>
    <w:rsid w:val="00BA2D85"/>
    <w:rsid w:val="00BA360A"/>
    <w:rsid w:val="00BA42D9"/>
    <w:rsid w:val="00BA47FA"/>
    <w:rsid w:val="00BA4D48"/>
    <w:rsid w:val="00BA59F9"/>
    <w:rsid w:val="00BA6198"/>
    <w:rsid w:val="00BA6D98"/>
    <w:rsid w:val="00BA6EA8"/>
    <w:rsid w:val="00BB0C5F"/>
    <w:rsid w:val="00BB1F03"/>
    <w:rsid w:val="00BB24BD"/>
    <w:rsid w:val="00BB25B9"/>
    <w:rsid w:val="00BB2A26"/>
    <w:rsid w:val="00BB3B45"/>
    <w:rsid w:val="00BB3B8B"/>
    <w:rsid w:val="00BB3CE0"/>
    <w:rsid w:val="00BB4452"/>
    <w:rsid w:val="00BB4759"/>
    <w:rsid w:val="00BB5D2A"/>
    <w:rsid w:val="00BB6D97"/>
    <w:rsid w:val="00BB730C"/>
    <w:rsid w:val="00BB76BC"/>
    <w:rsid w:val="00BB7870"/>
    <w:rsid w:val="00BC15AF"/>
    <w:rsid w:val="00BC24B5"/>
    <w:rsid w:val="00BC28F5"/>
    <w:rsid w:val="00BC2ADA"/>
    <w:rsid w:val="00BC3137"/>
    <w:rsid w:val="00BC44D3"/>
    <w:rsid w:val="00BC4FF3"/>
    <w:rsid w:val="00BC5434"/>
    <w:rsid w:val="00BC58F0"/>
    <w:rsid w:val="00BC5A09"/>
    <w:rsid w:val="00BC5D8E"/>
    <w:rsid w:val="00BC6CF8"/>
    <w:rsid w:val="00BC7674"/>
    <w:rsid w:val="00BD08D9"/>
    <w:rsid w:val="00BD1BD8"/>
    <w:rsid w:val="00BD30A4"/>
    <w:rsid w:val="00BD3A60"/>
    <w:rsid w:val="00BD4106"/>
    <w:rsid w:val="00BD5095"/>
    <w:rsid w:val="00BD5815"/>
    <w:rsid w:val="00BE14B8"/>
    <w:rsid w:val="00BE2315"/>
    <w:rsid w:val="00BE26A9"/>
    <w:rsid w:val="00BE28E9"/>
    <w:rsid w:val="00BE30DF"/>
    <w:rsid w:val="00BE4335"/>
    <w:rsid w:val="00BE6050"/>
    <w:rsid w:val="00BE60AB"/>
    <w:rsid w:val="00BE6627"/>
    <w:rsid w:val="00BE7A25"/>
    <w:rsid w:val="00BE7CD2"/>
    <w:rsid w:val="00BF038E"/>
    <w:rsid w:val="00BF2DDB"/>
    <w:rsid w:val="00BF4726"/>
    <w:rsid w:val="00BF47EE"/>
    <w:rsid w:val="00BF55A5"/>
    <w:rsid w:val="00BF6D44"/>
    <w:rsid w:val="00BF72EB"/>
    <w:rsid w:val="00C00252"/>
    <w:rsid w:val="00C00CD6"/>
    <w:rsid w:val="00C010E3"/>
    <w:rsid w:val="00C01AF1"/>
    <w:rsid w:val="00C02604"/>
    <w:rsid w:val="00C0425F"/>
    <w:rsid w:val="00C056EF"/>
    <w:rsid w:val="00C06EFA"/>
    <w:rsid w:val="00C07385"/>
    <w:rsid w:val="00C07FA4"/>
    <w:rsid w:val="00C10B12"/>
    <w:rsid w:val="00C10CC9"/>
    <w:rsid w:val="00C13E3D"/>
    <w:rsid w:val="00C14230"/>
    <w:rsid w:val="00C14422"/>
    <w:rsid w:val="00C14919"/>
    <w:rsid w:val="00C16031"/>
    <w:rsid w:val="00C16C21"/>
    <w:rsid w:val="00C17904"/>
    <w:rsid w:val="00C2104D"/>
    <w:rsid w:val="00C23087"/>
    <w:rsid w:val="00C24531"/>
    <w:rsid w:val="00C2497E"/>
    <w:rsid w:val="00C25256"/>
    <w:rsid w:val="00C25904"/>
    <w:rsid w:val="00C2665F"/>
    <w:rsid w:val="00C27660"/>
    <w:rsid w:val="00C30EA6"/>
    <w:rsid w:val="00C3261A"/>
    <w:rsid w:val="00C32F03"/>
    <w:rsid w:val="00C338F9"/>
    <w:rsid w:val="00C33F8F"/>
    <w:rsid w:val="00C346BB"/>
    <w:rsid w:val="00C34A98"/>
    <w:rsid w:val="00C35668"/>
    <w:rsid w:val="00C35C52"/>
    <w:rsid w:val="00C367FA"/>
    <w:rsid w:val="00C368FD"/>
    <w:rsid w:val="00C37807"/>
    <w:rsid w:val="00C37DBE"/>
    <w:rsid w:val="00C4272E"/>
    <w:rsid w:val="00C42DFD"/>
    <w:rsid w:val="00C43095"/>
    <w:rsid w:val="00C43329"/>
    <w:rsid w:val="00C4363C"/>
    <w:rsid w:val="00C448AC"/>
    <w:rsid w:val="00C45395"/>
    <w:rsid w:val="00C4555B"/>
    <w:rsid w:val="00C459E2"/>
    <w:rsid w:val="00C45C15"/>
    <w:rsid w:val="00C45FB7"/>
    <w:rsid w:val="00C46CB7"/>
    <w:rsid w:val="00C47804"/>
    <w:rsid w:val="00C479D4"/>
    <w:rsid w:val="00C47C44"/>
    <w:rsid w:val="00C52202"/>
    <w:rsid w:val="00C524B5"/>
    <w:rsid w:val="00C52AF2"/>
    <w:rsid w:val="00C52DE8"/>
    <w:rsid w:val="00C53451"/>
    <w:rsid w:val="00C53702"/>
    <w:rsid w:val="00C540B5"/>
    <w:rsid w:val="00C54639"/>
    <w:rsid w:val="00C54CAD"/>
    <w:rsid w:val="00C54E3C"/>
    <w:rsid w:val="00C54EC0"/>
    <w:rsid w:val="00C55CDC"/>
    <w:rsid w:val="00C57DFE"/>
    <w:rsid w:val="00C60318"/>
    <w:rsid w:val="00C604D7"/>
    <w:rsid w:val="00C60CD8"/>
    <w:rsid w:val="00C62D5C"/>
    <w:rsid w:val="00C63611"/>
    <w:rsid w:val="00C642BC"/>
    <w:rsid w:val="00C6461A"/>
    <w:rsid w:val="00C646D9"/>
    <w:rsid w:val="00C6474B"/>
    <w:rsid w:val="00C65163"/>
    <w:rsid w:val="00C65168"/>
    <w:rsid w:val="00C65537"/>
    <w:rsid w:val="00C66953"/>
    <w:rsid w:val="00C670DF"/>
    <w:rsid w:val="00C674F7"/>
    <w:rsid w:val="00C67773"/>
    <w:rsid w:val="00C67CF6"/>
    <w:rsid w:val="00C67D48"/>
    <w:rsid w:val="00C67F78"/>
    <w:rsid w:val="00C70C7A"/>
    <w:rsid w:val="00C715D7"/>
    <w:rsid w:val="00C71850"/>
    <w:rsid w:val="00C71862"/>
    <w:rsid w:val="00C7198F"/>
    <w:rsid w:val="00C72978"/>
    <w:rsid w:val="00C73A2D"/>
    <w:rsid w:val="00C73D75"/>
    <w:rsid w:val="00C74DDA"/>
    <w:rsid w:val="00C74F76"/>
    <w:rsid w:val="00C75780"/>
    <w:rsid w:val="00C75C8E"/>
    <w:rsid w:val="00C76470"/>
    <w:rsid w:val="00C76D0E"/>
    <w:rsid w:val="00C80402"/>
    <w:rsid w:val="00C80A57"/>
    <w:rsid w:val="00C81668"/>
    <w:rsid w:val="00C81991"/>
    <w:rsid w:val="00C829E7"/>
    <w:rsid w:val="00C83061"/>
    <w:rsid w:val="00C833BC"/>
    <w:rsid w:val="00C84A23"/>
    <w:rsid w:val="00C84E64"/>
    <w:rsid w:val="00C858DF"/>
    <w:rsid w:val="00C85C75"/>
    <w:rsid w:val="00C87470"/>
    <w:rsid w:val="00C879E9"/>
    <w:rsid w:val="00C90C65"/>
    <w:rsid w:val="00C929A9"/>
    <w:rsid w:val="00C92AF8"/>
    <w:rsid w:val="00C92C93"/>
    <w:rsid w:val="00C945E6"/>
    <w:rsid w:val="00C94FEE"/>
    <w:rsid w:val="00C95726"/>
    <w:rsid w:val="00C96337"/>
    <w:rsid w:val="00C97A26"/>
    <w:rsid w:val="00CA00B1"/>
    <w:rsid w:val="00CA1C7B"/>
    <w:rsid w:val="00CA1FFD"/>
    <w:rsid w:val="00CA4631"/>
    <w:rsid w:val="00CA4930"/>
    <w:rsid w:val="00CA5220"/>
    <w:rsid w:val="00CA5716"/>
    <w:rsid w:val="00CB016E"/>
    <w:rsid w:val="00CB1678"/>
    <w:rsid w:val="00CB1A16"/>
    <w:rsid w:val="00CB1D23"/>
    <w:rsid w:val="00CB21BE"/>
    <w:rsid w:val="00CB22C4"/>
    <w:rsid w:val="00CB2326"/>
    <w:rsid w:val="00CB4266"/>
    <w:rsid w:val="00CB5474"/>
    <w:rsid w:val="00CB6024"/>
    <w:rsid w:val="00CB6293"/>
    <w:rsid w:val="00CC0441"/>
    <w:rsid w:val="00CC1958"/>
    <w:rsid w:val="00CC1B98"/>
    <w:rsid w:val="00CC1DF8"/>
    <w:rsid w:val="00CC2A9D"/>
    <w:rsid w:val="00CC35FC"/>
    <w:rsid w:val="00CC3855"/>
    <w:rsid w:val="00CC3F9C"/>
    <w:rsid w:val="00CC4AA1"/>
    <w:rsid w:val="00CC51DB"/>
    <w:rsid w:val="00CC56D9"/>
    <w:rsid w:val="00CC6C73"/>
    <w:rsid w:val="00CD093B"/>
    <w:rsid w:val="00CD1287"/>
    <w:rsid w:val="00CD12CB"/>
    <w:rsid w:val="00CD3751"/>
    <w:rsid w:val="00CD385D"/>
    <w:rsid w:val="00CD3FE7"/>
    <w:rsid w:val="00CD454C"/>
    <w:rsid w:val="00CD503C"/>
    <w:rsid w:val="00CD5203"/>
    <w:rsid w:val="00CD538F"/>
    <w:rsid w:val="00CD575E"/>
    <w:rsid w:val="00CD5A8D"/>
    <w:rsid w:val="00CD5B6E"/>
    <w:rsid w:val="00CD5CF6"/>
    <w:rsid w:val="00CD624D"/>
    <w:rsid w:val="00CD651A"/>
    <w:rsid w:val="00CD75B7"/>
    <w:rsid w:val="00CD7E9D"/>
    <w:rsid w:val="00CE01B4"/>
    <w:rsid w:val="00CE0577"/>
    <w:rsid w:val="00CE069F"/>
    <w:rsid w:val="00CE4416"/>
    <w:rsid w:val="00CE4790"/>
    <w:rsid w:val="00CE5E1E"/>
    <w:rsid w:val="00CE71E5"/>
    <w:rsid w:val="00CE7D1C"/>
    <w:rsid w:val="00CE7E45"/>
    <w:rsid w:val="00CF0591"/>
    <w:rsid w:val="00CF0959"/>
    <w:rsid w:val="00CF1412"/>
    <w:rsid w:val="00CF288E"/>
    <w:rsid w:val="00CF2FBB"/>
    <w:rsid w:val="00CF510D"/>
    <w:rsid w:val="00CF5217"/>
    <w:rsid w:val="00CF5479"/>
    <w:rsid w:val="00CF5B8A"/>
    <w:rsid w:val="00CF5BEC"/>
    <w:rsid w:val="00CF5CE6"/>
    <w:rsid w:val="00CF65A9"/>
    <w:rsid w:val="00CF6DAD"/>
    <w:rsid w:val="00CF700D"/>
    <w:rsid w:val="00CF79ED"/>
    <w:rsid w:val="00D007D2"/>
    <w:rsid w:val="00D00DB2"/>
    <w:rsid w:val="00D00E50"/>
    <w:rsid w:val="00D025D0"/>
    <w:rsid w:val="00D02D02"/>
    <w:rsid w:val="00D02F80"/>
    <w:rsid w:val="00D03ED0"/>
    <w:rsid w:val="00D04308"/>
    <w:rsid w:val="00D04A04"/>
    <w:rsid w:val="00D050DE"/>
    <w:rsid w:val="00D058F2"/>
    <w:rsid w:val="00D06F6F"/>
    <w:rsid w:val="00D10BC3"/>
    <w:rsid w:val="00D11667"/>
    <w:rsid w:val="00D11DF7"/>
    <w:rsid w:val="00D11F06"/>
    <w:rsid w:val="00D12C8E"/>
    <w:rsid w:val="00D12D8D"/>
    <w:rsid w:val="00D14249"/>
    <w:rsid w:val="00D16791"/>
    <w:rsid w:val="00D171AD"/>
    <w:rsid w:val="00D206DA"/>
    <w:rsid w:val="00D208D0"/>
    <w:rsid w:val="00D20956"/>
    <w:rsid w:val="00D21128"/>
    <w:rsid w:val="00D22B2D"/>
    <w:rsid w:val="00D23166"/>
    <w:rsid w:val="00D231ED"/>
    <w:rsid w:val="00D23623"/>
    <w:rsid w:val="00D237E9"/>
    <w:rsid w:val="00D2453D"/>
    <w:rsid w:val="00D24C41"/>
    <w:rsid w:val="00D24D26"/>
    <w:rsid w:val="00D24EC0"/>
    <w:rsid w:val="00D25568"/>
    <w:rsid w:val="00D25EB7"/>
    <w:rsid w:val="00D27426"/>
    <w:rsid w:val="00D2797E"/>
    <w:rsid w:val="00D30D19"/>
    <w:rsid w:val="00D30D33"/>
    <w:rsid w:val="00D30D37"/>
    <w:rsid w:val="00D31860"/>
    <w:rsid w:val="00D335D9"/>
    <w:rsid w:val="00D34A32"/>
    <w:rsid w:val="00D34E9B"/>
    <w:rsid w:val="00D34EE6"/>
    <w:rsid w:val="00D34FC0"/>
    <w:rsid w:val="00D35A6F"/>
    <w:rsid w:val="00D3721C"/>
    <w:rsid w:val="00D40133"/>
    <w:rsid w:val="00D40626"/>
    <w:rsid w:val="00D408D8"/>
    <w:rsid w:val="00D43475"/>
    <w:rsid w:val="00D43B85"/>
    <w:rsid w:val="00D4508A"/>
    <w:rsid w:val="00D459D6"/>
    <w:rsid w:val="00D464FF"/>
    <w:rsid w:val="00D5073F"/>
    <w:rsid w:val="00D509FF"/>
    <w:rsid w:val="00D51270"/>
    <w:rsid w:val="00D513C8"/>
    <w:rsid w:val="00D51C43"/>
    <w:rsid w:val="00D53418"/>
    <w:rsid w:val="00D5377A"/>
    <w:rsid w:val="00D53B71"/>
    <w:rsid w:val="00D5401D"/>
    <w:rsid w:val="00D5463B"/>
    <w:rsid w:val="00D547BC"/>
    <w:rsid w:val="00D55591"/>
    <w:rsid w:val="00D560E8"/>
    <w:rsid w:val="00D561F9"/>
    <w:rsid w:val="00D568A4"/>
    <w:rsid w:val="00D57B5E"/>
    <w:rsid w:val="00D60422"/>
    <w:rsid w:val="00D61EDC"/>
    <w:rsid w:val="00D62936"/>
    <w:rsid w:val="00D62A4D"/>
    <w:rsid w:val="00D62CBC"/>
    <w:rsid w:val="00D62D44"/>
    <w:rsid w:val="00D63ECA"/>
    <w:rsid w:val="00D64AB8"/>
    <w:rsid w:val="00D64F1B"/>
    <w:rsid w:val="00D661CF"/>
    <w:rsid w:val="00D663B2"/>
    <w:rsid w:val="00D664AE"/>
    <w:rsid w:val="00D66DA2"/>
    <w:rsid w:val="00D70621"/>
    <w:rsid w:val="00D70C32"/>
    <w:rsid w:val="00D70C6B"/>
    <w:rsid w:val="00D71A86"/>
    <w:rsid w:val="00D71CAF"/>
    <w:rsid w:val="00D71F15"/>
    <w:rsid w:val="00D7254C"/>
    <w:rsid w:val="00D739B8"/>
    <w:rsid w:val="00D7421C"/>
    <w:rsid w:val="00D7473A"/>
    <w:rsid w:val="00D74741"/>
    <w:rsid w:val="00D74DBB"/>
    <w:rsid w:val="00D765C9"/>
    <w:rsid w:val="00D768BC"/>
    <w:rsid w:val="00D772DD"/>
    <w:rsid w:val="00D77746"/>
    <w:rsid w:val="00D8023E"/>
    <w:rsid w:val="00D80261"/>
    <w:rsid w:val="00D81055"/>
    <w:rsid w:val="00D81977"/>
    <w:rsid w:val="00D83620"/>
    <w:rsid w:val="00D83CF4"/>
    <w:rsid w:val="00D83D82"/>
    <w:rsid w:val="00D841B5"/>
    <w:rsid w:val="00D84A92"/>
    <w:rsid w:val="00D84B8B"/>
    <w:rsid w:val="00D84C37"/>
    <w:rsid w:val="00D8521E"/>
    <w:rsid w:val="00D87355"/>
    <w:rsid w:val="00D878A8"/>
    <w:rsid w:val="00D90B9E"/>
    <w:rsid w:val="00D90C2B"/>
    <w:rsid w:val="00D917C3"/>
    <w:rsid w:val="00D92AEA"/>
    <w:rsid w:val="00D934D1"/>
    <w:rsid w:val="00D9485F"/>
    <w:rsid w:val="00D95948"/>
    <w:rsid w:val="00D95E5A"/>
    <w:rsid w:val="00D96AED"/>
    <w:rsid w:val="00D96FF7"/>
    <w:rsid w:val="00DA1386"/>
    <w:rsid w:val="00DA1700"/>
    <w:rsid w:val="00DA2272"/>
    <w:rsid w:val="00DA28CD"/>
    <w:rsid w:val="00DA2CDB"/>
    <w:rsid w:val="00DA524A"/>
    <w:rsid w:val="00DA58F5"/>
    <w:rsid w:val="00DA5C4D"/>
    <w:rsid w:val="00DA7008"/>
    <w:rsid w:val="00DA74AC"/>
    <w:rsid w:val="00DA7DF6"/>
    <w:rsid w:val="00DB00AF"/>
    <w:rsid w:val="00DB0C90"/>
    <w:rsid w:val="00DB0F6F"/>
    <w:rsid w:val="00DB26AC"/>
    <w:rsid w:val="00DB2E0E"/>
    <w:rsid w:val="00DB3C53"/>
    <w:rsid w:val="00DB417A"/>
    <w:rsid w:val="00DB5D33"/>
    <w:rsid w:val="00DB5F2F"/>
    <w:rsid w:val="00DB62E6"/>
    <w:rsid w:val="00DB7F2B"/>
    <w:rsid w:val="00DC0365"/>
    <w:rsid w:val="00DC36C0"/>
    <w:rsid w:val="00DC3FFF"/>
    <w:rsid w:val="00DC5C58"/>
    <w:rsid w:val="00DC65F2"/>
    <w:rsid w:val="00DC71D3"/>
    <w:rsid w:val="00DC77EA"/>
    <w:rsid w:val="00DC7EF1"/>
    <w:rsid w:val="00DD06DA"/>
    <w:rsid w:val="00DD0D76"/>
    <w:rsid w:val="00DD10B4"/>
    <w:rsid w:val="00DD10DF"/>
    <w:rsid w:val="00DD12DC"/>
    <w:rsid w:val="00DD27F5"/>
    <w:rsid w:val="00DD2A47"/>
    <w:rsid w:val="00DD2CF0"/>
    <w:rsid w:val="00DD2D75"/>
    <w:rsid w:val="00DD2FF8"/>
    <w:rsid w:val="00DD341A"/>
    <w:rsid w:val="00DD4464"/>
    <w:rsid w:val="00DD4C26"/>
    <w:rsid w:val="00DD66E9"/>
    <w:rsid w:val="00DD73FC"/>
    <w:rsid w:val="00DE0F45"/>
    <w:rsid w:val="00DE1A7C"/>
    <w:rsid w:val="00DE25B5"/>
    <w:rsid w:val="00DE2901"/>
    <w:rsid w:val="00DE43E6"/>
    <w:rsid w:val="00DE534A"/>
    <w:rsid w:val="00DE6B44"/>
    <w:rsid w:val="00DE6F92"/>
    <w:rsid w:val="00DE7F80"/>
    <w:rsid w:val="00DF0E8D"/>
    <w:rsid w:val="00DF11ED"/>
    <w:rsid w:val="00DF2936"/>
    <w:rsid w:val="00DF2A1D"/>
    <w:rsid w:val="00DF2D06"/>
    <w:rsid w:val="00DF2D3A"/>
    <w:rsid w:val="00DF2E73"/>
    <w:rsid w:val="00DF3962"/>
    <w:rsid w:val="00DF5664"/>
    <w:rsid w:val="00DF6016"/>
    <w:rsid w:val="00DF67B7"/>
    <w:rsid w:val="00DF717C"/>
    <w:rsid w:val="00DF764C"/>
    <w:rsid w:val="00E00783"/>
    <w:rsid w:val="00E0171B"/>
    <w:rsid w:val="00E01D9E"/>
    <w:rsid w:val="00E0236D"/>
    <w:rsid w:val="00E02BA1"/>
    <w:rsid w:val="00E02F3D"/>
    <w:rsid w:val="00E03620"/>
    <w:rsid w:val="00E037BF"/>
    <w:rsid w:val="00E03CBE"/>
    <w:rsid w:val="00E041C8"/>
    <w:rsid w:val="00E04830"/>
    <w:rsid w:val="00E04D96"/>
    <w:rsid w:val="00E066AD"/>
    <w:rsid w:val="00E06D97"/>
    <w:rsid w:val="00E06DD9"/>
    <w:rsid w:val="00E077CE"/>
    <w:rsid w:val="00E07CF7"/>
    <w:rsid w:val="00E104C7"/>
    <w:rsid w:val="00E1075C"/>
    <w:rsid w:val="00E1092E"/>
    <w:rsid w:val="00E10E77"/>
    <w:rsid w:val="00E10EB1"/>
    <w:rsid w:val="00E10F99"/>
    <w:rsid w:val="00E11487"/>
    <w:rsid w:val="00E1155B"/>
    <w:rsid w:val="00E129B1"/>
    <w:rsid w:val="00E13889"/>
    <w:rsid w:val="00E1605D"/>
    <w:rsid w:val="00E16128"/>
    <w:rsid w:val="00E1753C"/>
    <w:rsid w:val="00E175D0"/>
    <w:rsid w:val="00E17C00"/>
    <w:rsid w:val="00E20220"/>
    <w:rsid w:val="00E20728"/>
    <w:rsid w:val="00E20DD5"/>
    <w:rsid w:val="00E21320"/>
    <w:rsid w:val="00E22617"/>
    <w:rsid w:val="00E242C1"/>
    <w:rsid w:val="00E25ABD"/>
    <w:rsid w:val="00E25BA5"/>
    <w:rsid w:val="00E2747B"/>
    <w:rsid w:val="00E30A76"/>
    <w:rsid w:val="00E31449"/>
    <w:rsid w:val="00E31E5E"/>
    <w:rsid w:val="00E32278"/>
    <w:rsid w:val="00E32976"/>
    <w:rsid w:val="00E32AE3"/>
    <w:rsid w:val="00E33686"/>
    <w:rsid w:val="00E33B2D"/>
    <w:rsid w:val="00E340BC"/>
    <w:rsid w:val="00E344F6"/>
    <w:rsid w:val="00E36B89"/>
    <w:rsid w:val="00E36BD1"/>
    <w:rsid w:val="00E3716F"/>
    <w:rsid w:val="00E42492"/>
    <w:rsid w:val="00E425BB"/>
    <w:rsid w:val="00E43F1F"/>
    <w:rsid w:val="00E44A16"/>
    <w:rsid w:val="00E454F5"/>
    <w:rsid w:val="00E470B6"/>
    <w:rsid w:val="00E47B83"/>
    <w:rsid w:val="00E5057A"/>
    <w:rsid w:val="00E52521"/>
    <w:rsid w:val="00E533DC"/>
    <w:rsid w:val="00E53D9A"/>
    <w:rsid w:val="00E5430E"/>
    <w:rsid w:val="00E543BA"/>
    <w:rsid w:val="00E54AAB"/>
    <w:rsid w:val="00E552CD"/>
    <w:rsid w:val="00E57710"/>
    <w:rsid w:val="00E5781C"/>
    <w:rsid w:val="00E57FA7"/>
    <w:rsid w:val="00E618B6"/>
    <w:rsid w:val="00E61A0B"/>
    <w:rsid w:val="00E61CA9"/>
    <w:rsid w:val="00E61DB4"/>
    <w:rsid w:val="00E622EF"/>
    <w:rsid w:val="00E62414"/>
    <w:rsid w:val="00E6401C"/>
    <w:rsid w:val="00E64C37"/>
    <w:rsid w:val="00E64C73"/>
    <w:rsid w:val="00E65297"/>
    <w:rsid w:val="00E65796"/>
    <w:rsid w:val="00E661EF"/>
    <w:rsid w:val="00E66646"/>
    <w:rsid w:val="00E668CC"/>
    <w:rsid w:val="00E674D9"/>
    <w:rsid w:val="00E67723"/>
    <w:rsid w:val="00E71BF2"/>
    <w:rsid w:val="00E7226B"/>
    <w:rsid w:val="00E727EB"/>
    <w:rsid w:val="00E72BE4"/>
    <w:rsid w:val="00E73C2C"/>
    <w:rsid w:val="00E73FB9"/>
    <w:rsid w:val="00E75CE7"/>
    <w:rsid w:val="00E76992"/>
    <w:rsid w:val="00E77301"/>
    <w:rsid w:val="00E77508"/>
    <w:rsid w:val="00E77790"/>
    <w:rsid w:val="00E77833"/>
    <w:rsid w:val="00E77C6F"/>
    <w:rsid w:val="00E80ABA"/>
    <w:rsid w:val="00E810E6"/>
    <w:rsid w:val="00E819BB"/>
    <w:rsid w:val="00E8255C"/>
    <w:rsid w:val="00E82788"/>
    <w:rsid w:val="00E82D76"/>
    <w:rsid w:val="00E82EAE"/>
    <w:rsid w:val="00E843CE"/>
    <w:rsid w:val="00E84C79"/>
    <w:rsid w:val="00E84F3A"/>
    <w:rsid w:val="00E85001"/>
    <w:rsid w:val="00E85ACD"/>
    <w:rsid w:val="00E8638D"/>
    <w:rsid w:val="00E870F4"/>
    <w:rsid w:val="00E87B39"/>
    <w:rsid w:val="00E90141"/>
    <w:rsid w:val="00E90A59"/>
    <w:rsid w:val="00E91384"/>
    <w:rsid w:val="00E92651"/>
    <w:rsid w:val="00E92B13"/>
    <w:rsid w:val="00E92DD1"/>
    <w:rsid w:val="00E9313F"/>
    <w:rsid w:val="00E949E8"/>
    <w:rsid w:val="00E949F4"/>
    <w:rsid w:val="00E95962"/>
    <w:rsid w:val="00E962A0"/>
    <w:rsid w:val="00E96F34"/>
    <w:rsid w:val="00E97B94"/>
    <w:rsid w:val="00EA2D37"/>
    <w:rsid w:val="00EA321F"/>
    <w:rsid w:val="00EA33ED"/>
    <w:rsid w:val="00EA44A7"/>
    <w:rsid w:val="00EA4D72"/>
    <w:rsid w:val="00EA507D"/>
    <w:rsid w:val="00EA7520"/>
    <w:rsid w:val="00EA796B"/>
    <w:rsid w:val="00EB0200"/>
    <w:rsid w:val="00EB1EBC"/>
    <w:rsid w:val="00EB381F"/>
    <w:rsid w:val="00EB5256"/>
    <w:rsid w:val="00EB690E"/>
    <w:rsid w:val="00EC0558"/>
    <w:rsid w:val="00EC1219"/>
    <w:rsid w:val="00EC1F18"/>
    <w:rsid w:val="00EC2F7C"/>
    <w:rsid w:val="00EC477F"/>
    <w:rsid w:val="00EC4AD4"/>
    <w:rsid w:val="00EC4F21"/>
    <w:rsid w:val="00EC5C05"/>
    <w:rsid w:val="00EC5D0E"/>
    <w:rsid w:val="00EC5D22"/>
    <w:rsid w:val="00EC668F"/>
    <w:rsid w:val="00EC73DE"/>
    <w:rsid w:val="00ED0910"/>
    <w:rsid w:val="00ED1F48"/>
    <w:rsid w:val="00ED289F"/>
    <w:rsid w:val="00ED298E"/>
    <w:rsid w:val="00ED43A3"/>
    <w:rsid w:val="00ED43E5"/>
    <w:rsid w:val="00ED4E1F"/>
    <w:rsid w:val="00ED61DB"/>
    <w:rsid w:val="00ED66AB"/>
    <w:rsid w:val="00EE0BED"/>
    <w:rsid w:val="00EE0FAA"/>
    <w:rsid w:val="00EE11DD"/>
    <w:rsid w:val="00EE2082"/>
    <w:rsid w:val="00EE33F6"/>
    <w:rsid w:val="00EE423B"/>
    <w:rsid w:val="00EE643C"/>
    <w:rsid w:val="00EE7282"/>
    <w:rsid w:val="00EE76A8"/>
    <w:rsid w:val="00EE7F43"/>
    <w:rsid w:val="00EF11D7"/>
    <w:rsid w:val="00EF12E2"/>
    <w:rsid w:val="00EF40F9"/>
    <w:rsid w:val="00EF41CC"/>
    <w:rsid w:val="00EF4310"/>
    <w:rsid w:val="00EF448A"/>
    <w:rsid w:val="00EF498F"/>
    <w:rsid w:val="00EF4DF8"/>
    <w:rsid w:val="00EF52E7"/>
    <w:rsid w:val="00EF7C0A"/>
    <w:rsid w:val="00F004A3"/>
    <w:rsid w:val="00F00B7A"/>
    <w:rsid w:val="00F02A93"/>
    <w:rsid w:val="00F02AFD"/>
    <w:rsid w:val="00F038D0"/>
    <w:rsid w:val="00F03E06"/>
    <w:rsid w:val="00F0414C"/>
    <w:rsid w:val="00F042EA"/>
    <w:rsid w:val="00F04D79"/>
    <w:rsid w:val="00F051D5"/>
    <w:rsid w:val="00F05236"/>
    <w:rsid w:val="00F05E20"/>
    <w:rsid w:val="00F05EE0"/>
    <w:rsid w:val="00F06279"/>
    <w:rsid w:val="00F06500"/>
    <w:rsid w:val="00F07387"/>
    <w:rsid w:val="00F07A2A"/>
    <w:rsid w:val="00F07DD3"/>
    <w:rsid w:val="00F10BCF"/>
    <w:rsid w:val="00F12BB6"/>
    <w:rsid w:val="00F14C8C"/>
    <w:rsid w:val="00F15E3F"/>
    <w:rsid w:val="00F16DF4"/>
    <w:rsid w:val="00F16FD5"/>
    <w:rsid w:val="00F17798"/>
    <w:rsid w:val="00F17AF9"/>
    <w:rsid w:val="00F2009C"/>
    <w:rsid w:val="00F20D37"/>
    <w:rsid w:val="00F21097"/>
    <w:rsid w:val="00F2137A"/>
    <w:rsid w:val="00F22249"/>
    <w:rsid w:val="00F22849"/>
    <w:rsid w:val="00F22BD5"/>
    <w:rsid w:val="00F22D8C"/>
    <w:rsid w:val="00F231E2"/>
    <w:rsid w:val="00F2417C"/>
    <w:rsid w:val="00F248F1"/>
    <w:rsid w:val="00F25096"/>
    <w:rsid w:val="00F25B41"/>
    <w:rsid w:val="00F270D6"/>
    <w:rsid w:val="00F274D3"/>
    <w:rsid w:val="00F31774"/>
    <w:rsid w:val="00F31C25"/>
    <w:rsid w:val="00F33273"/>
    <w:rsid w:val="00F3392F"/>
    <w:rsid w:val="00F3532A"/>
    <w:rsid w:val="00F3656F"/>
    <w:rsid w:val="00F37401"/>
    <w:rsid w:val="00F3780A"/>
    <w:rsid w:val="00F37C4D"/>
    <w:rsid w:val="00F40777"/>
    <w:rsid w:val="00F41002"/>
    <w:rsid w:val="00F410B4"/>
    <w:rsid w:val="00F413A2"/>
    <w:rsid w:val="00F415F5"/>
    <w:rsid w:val="00F422C3"/>
    <w:rsid w:val="00F4661E"/>
    <w:rsid w:val="00F47955"/>
    <w:rsid w:val="00F47988"/>
    <w:rsid w:val="00F50467"/>
    <w:rsid w:val="00F504D6"/>
    <w:rsid w:val="00F525AB"/>
    <w:rsid w:val="00F5429F"/>
    <w:rsid w:val="00F54A1C"/>
    <w:rsid w:val="00F54DFE"/>
    <w:rsid w:val="00F55E05"/>
    <w:rsid w:val="00F5612E"/>
    <w:rsid w:val="00F56910"/>
    <w:rsid w:val="00F572B1"/>
    <w:rsid w:val="00F5789A"/>
    <w:rsid w:val="00F60113"/>
    <w:rsid w:val="00F60FB7"/>
    <w:rsid w:val="00F61D10"/>
    <w:rsid w:val="00F629C9"/>
    <w:rsid w:val="00F65725"/>
    <w:rsid w:val="00F6682B"/>
    <w:rsid w:val="00F66E3F"/>
    <w:rsid w:val="00F66F57"/>
    <w:rsid w:val="00F66FB0"/>
    <w:rsid w:val="00F676ED"/>
    <w:rsid w:val="00F67889"/>
    <w:rsid w:val="00F70852"/>
    <w:rsid w:val="00F70D17"/>
    <w:rsid w:val="00F70D23"/>
    <w:rsid w:val="00F7124C"/>
    <w:rsid w:val="00F71D6F"/>
    <w:rsid w:val="00F73EA4"/>
    <w:rsid w:val="00F755B7"/>
    <w:rsid w:val="00F7597A"/>
    <w:rsid w:val="00F760BC"/>
    <w:rsid w:val="00F773F7"/>
    <w:rsid w:val="00F7757C"/>
    <w:rsid w:val="00F77FDD"/>
    <w:rsid w:val="00F8086E"/>
    <w:rsid w:val="00F84B6D"/>
    <w:rsid w:val="00F84C36"/>
    <w:rsid w:val="00F84DCC"/>
    <w:rsid w:val="00F85C1F"/>
    <w:rsid w:val="00F8612F"/>
    <w:rsid w:val="00F90C5F"/>
    <w:rsid w:val="00F922D8"/>
    <w:rsid w:val="00F92966"/>
    <w:rsid w:val="00F93269"/>
    <w:rsid w:val="00F95676"/>
    <w:rsid w:val="00F95D4B"/>
    <w:rsid w:val="00F96EA2"/>
    <w:rsid w:val="00F9739E"/>
    <w:rsid w:val="00F97F37"/>
    <w:rsid w:val="00FA01D4"/>
    <w:rsid w:val="00FA034B"/>
    <w:rsid w:val="00FA0C05"/>
    <w:rsid w:val="00FA1745"/>
    <w:rsid w:val="00FA179E"/>
    <w:rsid w:val="00FA1F0D"/>
    <w:rsid w:val="00FA2252"/>
    <w:rsid w:val="00FA2256"/>
    <w:rsid w:val="00FA2725"/>
    <w:rsid w:val="00FA2E9C"/>
    <w:rsid w:val="00FA3290"/>
    <w:rsid w:val="00FA409C"/>
    <w:rsid w:val="00FA4687"/>
    <w:rsid w:val="00FA4A4A"/>
    <w:rsid w:val="00FA5515"/>
    <w:rsid w:val="00FA7BF3"/>
    <w:rsid w:val="00FB0241"/>
    <w:rsid w:val="00FB07D3"/>
    <w:rsid w:val="00FB0C66"/>
    <w:rsid w:val="00FB1C3D"/>
    <w:rsid w:val="00FB447C"/>
    <w:rsid w:val="00FB5110"/>
    <w:rsid w:val="00FB6198"/>
    <w:rsid w:val="00FB70D2"/>
    <w:rsid w:val="00FC0E13"/>
    <w:rsid w:val="00FC217C"/>
    <w:rsid w:val="00FC3593"/>
    <w:rsid w:val="00FC3E20"/>
    <w:rsid w:val="00FC4227"/>
    <w:rsid w:val="00FC4DDB"/>
    <w:rsid w:val="00FC563B"/>
    <w:rsid w:val="00FC57CE"/>
    <w:rsid w:val="00FC5891"/>
    <w:rsid w:val="00FC6FD2"/>
    <w:rsid w:val="00FC7270"/>
    <w:rsid w:val="00FC7724"/>
    <w:rsid w:val="00FC7949"/>
    <w:rsid w:val="00FD21CF"/>
    <w:rsid w:val="00FD343D"/>
    <w:rsid w:val="00FD5735"/>
    <w:rsid w:val="00FD620D"/>
    <w:rsid w:val="00FD6648"/>
    <w:rsid w:val="00FD6FE6"/>
    <w:rsid w:val="00FD7967"/>
    <w:rsid w:val="00FD7CA2"/>
    <w:rsid w:val="00FD7D95"/>
    <w:rsid w:val="00FE083E"/>
    <w:rsid w:val="00FE10F5"/>
    <w:rsid w:val="00FE18B1"/>
    <w:rsid w:val="00FE1A53"/>
    <w:rsid w:val="00FE229B"/>
    <w:rsid w:val="00FE2349"/>
    <w:rsid w:val="00FE28E9"/>
    <w:rsid w:val="00FE330D"/>
    <w:rsid w:val="00FE3A93"/>
    <w:rsid w:val="00FE4364"/>
    <w:rsid w:val="00FE4684"/>
    <w:rsid w:val="00FE50CE"/>
    <w:rsid w:val="00FE550F"/>
    <w:rsid w:val="00FE5AD1"/>
    <w:rsid w:val="00FE5C1A"/>
    <w:rsid w:val="00FE690C"/>
    <w:rsid w:val="00FE6F35"/>
    <w:rsid w:val="00FE79DC"/>
    <w:rsid w:val="00FE7ECD"/>
    <w:rsid w:val="00FF0166"/>
    <w:rsid w:val="00FF135C"/>
    <w:rsid w:val="00FF3756"/>
    <w:rsid w:val="00FF40B1"/>
    <w:rsid w:val="00FF41F0"/>
    <w:rsid w:val="00FF4832"/>
    <w:rsid w:val="00FF4DD5"/>
    <w:rsid w:val="00FF5027"/>
    <w:rsid w:val="00FF5D88"/>
    <w:rsid w:val="00FF5D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35"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qFormat/>
    <w:rsid w:val="00BA59F9"/>
    <w:pPr>
      <w:keepNext/>
      <w:jc w:val="center"/>
      <w:outlineLvl w:val="0"/>
    </w:pPr>
    <w:rPr>
      <w:rFonts w:ascii="Cambria" w:hAnsi="Cambria"/>
      <w:b/>
      <w:bCs/>
      <w:kern w:val="32"/>
      <w:sz w:val="32"/>
      <w:szCs w:val="32"/>
    </w:rPr>
  </w:style>
  <w:style w:type="paragraph" w:styleId="Heading2">
    <w:name w:val="heading 2"/>
    <w:basedOn w:val="Normal"/>
    <w:next w:val="Normal"/>
    <w:link w:val="Heading2Char"/>
    <w:qFormat/>
    <w:rsid w:val="00BA59F9"/>
    <w:pPr>
      <w:keepNext/>
      <w:bidi w:val="0"/>
      <w:jc w:val="center"/>
      <w:outlineLvl w:val="1"/>
    </w:pPr>
    <w:rPr>
      <w:rFonts w:ascii="Cambria" w:hAnsi="Cambria"/>
      <w:b/>
      <w:bCs/>
      <w:i/>
      <w:iCs/>
      <w:sz w:val="28"/>
      <w:szCs w:val="28"/>
    </w:rPr>
  </w:style>
  <w:style w:type="paragraph" w:styleId="Heading3">
    <w:name w:val="heading 3"/>
    <w:basedOn w:val="Normal"/>
    <w:next w:val="Normal"/>
    <w:link w:val="Heading3Char"/>
    <w:qFormat/>
    <w:rsid w:val="00BA59F9"/>
    <w:pPr>
      <w:keepNext/>
      <w:outlineLvl w:val="2"/>
    </w:pPr>
    <w:rPr>
      <w:rFonts w:ascii="Cambria" w:hAnsi="Cambria"/>
      <w:b/>
      <w:bCs/>
      <w:sz w:val="26"/>
      <w:szCs w:val="26"/>
    </w:rPr>
  </w:style>
  <w:style w:type="paragraph" w:styleId="Heading4">
    <w:name w:val="heading 4"/>
    <w:basedOn w:val="Normal"/>
    <w:next w:val="Normal"/>
    <w:link w:val="Heading4Char"/>
    <w:qFormat/>
    <w:rsid w:val="00BA59F9"/>
    <w:pPr>
      <w:keepNext/>
      <w:jc w:val="center"/>
      <w:outlineLvl w:val="3"/>
    </w:pPr>
    <w:rPr>
      <w:rFonts w:ascii="Calibri" w:hAnsi="Calibri" w:cs="Arial"/>
      <w:b/>
      <w:bCs/>
      <w:sz w:val="28"/>
      <w:szCs w:val="28"/>
    </w:rPr>
  </w:style>
  <w:style w:type="paragraph" w:styleId="Heading5">
    <w:name w:val="heading 5"/>
    <w:basedOn w:val="Normal"/>
    <w:next w:val="Normal"/>
    <w:link w:val="Heading5Char"/>
    <w:qFormat/>
    <w:rsid w:val="00BA59F9"/>
    <w:pPr>
      <w:keepNext/>
      <w:jc w:val="center"/>
      <w:outlineLvl w:val="4"/>
    </w:pPr>
    <w:rPr>
      <w:rFonts w:ascii="Calibri" w:hAnsi="Calibri" w:cs="Arial"/>
      <w:b/>
      <w:bCs/>
      <w:i/>
      <w:iCs/>
      <w:sz w:val="26"/>
      <w:szCs w:val="26"/>
    </w:rPr>
  </w:style>
  <w:style w:type="paragraph" w:styleId="Heading6">
    <w:name w:val="heading 6"/>
    <w:basedOn w:val="Normal"/>
    <w:next w:val="Normal"/>
    <w:link w:val="Heading6Char"/>
    <w:qFormat/>
    <w:rsid w:val="00BA59F9"/>
    <w:pPr>
      <w:keepNext/>
      <w:jc w:val="center"/>
      <w:outlineLvl w:val="5"/>
    </w:pPr>
    <w:rPr>
      <w:rFonts w:ascii="Calibri" w:hAnsi="Calibri" w:cs="Arial"/>
      <w:b/>
      <w:bCs/>
      <w:sz w:val="20"/>
      <w:szCs w:val="20"/>
    </w:rPr>
  </w:style>
  <w:style w:type="paragraph" w:styleId="Heading7">
    <w:name w:val="heading 7"/>
    <w:basedOn w:val="Normal"/>
    <w:next w:val="Normal"/>
    <w:link w:val="Heading7Char"/>
    <w:qFormat/>
    <w:rsid w:val="00BA59F9"/>
    <w:pPr>
      <w:keepNext/>
      <w:jc w:val="center"/>
      <w:outlineLvl w:val="6"/>
    </w:pPr>
    <w:rPr>
      <w:rFonts w:ascii="Calibri" w:hAnsi="Calibri" w:cs="Arial"/>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ascii="Calibri" w:hAnsi="Calibri" w:cs="Arial"/>
      <w:i/>
      <w:iCs/>
    </w:rPr>
  </w:style>
  <w:style w:type="paragraph" w:styleId="Heading9">
    <w:name w:val="heading 9"/>
    <w:basedOn w:val="Normal"/>
    <w:next w:val="Normal"/>
    <w:link w:val="Heading9Char"/>
    <w:uiPriority w:val="99"/>
    <w:qFormat/>
    <w:rsid w:val="00BA59F9"/>
    <w:pPr>
      <w:keepNext/>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D4850"/>
    <w:rPr>
      <w:rFonts w:ascii="Cambria" w:hAnsi="Cambria" w:cs="Times New Roman"/>
      <w:b/>
      <w:bCs/>
      <w:kern w:val="32"/>
      <w:sz w:val="32"/>
      <w:szCs w:val="32"/>
      <w:lang w:eastAsia="ar-SA" w:bidi="ar-SA"/>
    </w:rPr>
  </w:style>
  <w:style w:type="character" w:customStyle="1" w:styleId="Heading2Char">
    <w:name w:val="Heading 2 Char"/>
    <w:link w:val="Heading2"/>
    <w:locked/>
    <w:rsid w:val="005D4850"/>
    <w:rPr>
      <w:rFonts w:ascii="Cambria" w:hAnsi="Cambria" w:cs="Times New Roman"/>
      <w:b/>
      <w:bCs/>
      <w:i/>
      <w:iCs/>
      <w:sz w:val="28"/>
      <w:szCs w:val="28"/>
      <w:lang w:eastAsia="ar-SA" w:bidi="ar-SA"/>
    </w:rPr>
  </w:style>
  <w:style w:type="character" w:customStyle="1" w:styleId="Heading3Char">
    <w:name w:val="Heading 3 Char"/>
    <w:link w:val="Heading3"/>
    <w:locked/>
    <w:rsid w:val="005D4850"/>
    <w:rPr>
      <w:rFonts w:ascii="Cambria" w:hAnsi="Cambria" w:cs="Times New Roman"/>
      <w:b/>
      <w:bCs/>
      <w:sz w:val="26"/>
      <w:szCs w:val="26"/>
      <w:lang w:eastAsia="ar-SA" w:bidi="ar-SA"/>
    </w:rPr>
  </w:style>
  <w:style w:type="character" w:customStyle="1" w:styleId="Heading4Char">
    <w:name w:val="Heading 4 Char"/>
    <w:link w:val="Heading4"/>
    <w:locked/>
    <w:rsid w:val="005D4850"/>
    <w:rPr>
      <w:rFonts w:ascii="Calibri" w:hAnsi="Calibri" w:cs="Arial"/>
      <w:b/>
      <w:bCs/>
      <w:sz w:val="28"/>
      <w:szCs w:val="28"/>
      <w:lang w:eastAsia="ar-SA" w:bidi="ar-SA"/>
    </w:rPr>
  </w:style>
  <w:style w:type="character" w:customStyle="1" w:styleId="Heading5Char">
    <w:name w:val="Heading 5 Char"/>
    <w:link w:val="Heading5"/>
    <w:locked/>
    <w:rsid w:val="005D4850"/>
    <w:rPr>
      <w:rFonts w:ascii="Calibri" w:hAnsi="Calibri" w:cs="Arial"/>
      <w:b/>
      <w:bCs/>
      <w:i/>
      <w:iCs/>
      <w:sz w:val="26"/>
      <w:szCs w:val="26"/>
      <w:lang w:eastAsia="ar-SA" w:bidi="ar-SA"/>
    </w:rPr>
  </w:style>
  <w:style w:type="character" w:customStyle="1" w:styleId="Heading6Char">
    <w:name w:val="Heading 6 Char"/>
    <w:link w:val="Heading6"/>
    <w:locked/>
    <w:rsid w:val="005D4850"/>
    <w:rPr>
      <w:rFonts w:ascii="Calibri" w:hAnsi="Calibri" w:cs="Arial"/>
      <w:b/>
      <w:bCs/>
      <w:lang w:eastAsia="ar-SA" w:bidi="ar-SA"/>
    </w:rPr>
  </w:style>
  <w:style w:type="character" w:customStyle="1" w:styleId="Heading7Char">
    <w:name w:val="Heading 7 Char"/>
    <w:link w:val="Heading7"/>
    <w:locked/>
    <w:rsid w:val="005D4850"/>
    <w:rPr>
      <w:rFonts w:ascii="Calibri" w:hAnsi="Calibri" w:cs="Arial"/>
      <w:sz w:val="24"/>
      <w:szCs w:val="24"/>
      <w:lang w:eastAsia="ar-SA" w:bidi="ar-SA"/>
    </w:rPr>
  </w:style>
  <w:style w:type="character" w:customStyle="1" w:styleId="Heading8Char">
    <w:name w:val="Heading 8 Char"/>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link w:val="Heading9"/>
    <w:uiPriority w:val="99"/>
    <w:locked/>
    <w:rsid w:val="005D4850"/>
    <w:rPr>
      <w:rFonts w:ascii="Cambria" w:hAnsi="Cambria" w:cs="Times New Roman"/>
      <w:lang w:eastAsia="ar-SA" w:bidi="ar-SA"/>
    </w:rPr>
  </w:style>
  <w:style w:type="paragraph" w:styleId="Caption">
    <w:name w:val="caption"/>
    <w:basedOn w:val="Normal"/>
    <w:next w:val="Normal"/>
    <w:uiPriority w:val="35"/>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rPr>
  </w:style>
  <w:style w:type="character" w:customStyle="1" w:styleId="BodyTextChar">
    <w:name w:val="Body Text Char"/>
    <w:link w:val="BodyText"/>
    <w:uiPriority w:val="99"/>
    <w:semiHidden/>
    <w:locked/>
    <w:rsid w:val="00903EE6"/>
    <w:rPr>
      <w:rFonts w:cs="Simplified Arabic"/>
      <w:lang w:bidi="ar-SA"/>
    </w:rPr>
  </w:style>
  <w:style w:type="paragraph" w:styleId="BodyTextIndent">
    <w:name w:val="Body Text Indent"/>
    <w:basedOn w:val="Normal"/>
    <w:link w:val="BodyTextIndentChar"/>
    <w:semiHidden/>
    <w:rsid w:val="00BA59F9"/>
    <w:pPr>
      <w:overflowPunct w:val="0"/>
      <w:autoSpaceDE w:val="0"/>
      <w:autoSpaceDN w:val="0"/>
      <w:adjustRightInd w:val="0"/>
      <w:ind w:left="-143"/>
      <w:jc w:val="both"/>
    </w:pPr>
  </w:style>
  <w:style w:type="character" w:customStyle="1" w:styleId="BodyTextIndentChar">
    <w:name w:val="Body Text Indent Char"/>
    <w:link w:val="BodyTextIndent"/>
    <w:semiHidden/>
    <w:locked/>
    <w:rsid w:val="005D4850"/>
    <w:rPr>
      <w:rFonts w:cs="Times New Roman"/>
      <w:sz w:val="24"/>
      <w:szCs w:val="24"/>
      <w:lang w:eastAsia="ar-SA" w:bidi="ar-SA"/>
    </w:rPr>
  </w:style>
  <w:style w:type="paragraph" w:styleId="Footer">
    <w:name w:val="footer"/>
    <w:basedOn w:val="Normal"/>
    <w:link w:val="FooterChar"/>
    <w:rsid w:val="00BA59F9"/>
    <w:pPr>
      <w:tabs>
        <w:tab w:val="center" w:pos="4153"/>
        <w:tab w:val="right" w:pos="8306"/>
      </w:tabs>
    </w:pPr>
    <w:rPr>
      <w:rFonts w:cs="Simplified Arabic"/>
    </w:rPr>
  </w:style>
  <w:style w:type="character" w:customStyle="1" w:styleId="FooterChar">
    <w:name w:val="Footer Char"/>
    <w:link w:val="Footer"/>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style>
  <w:style w:type="character" w:customStyle="1" w:styleId="BodyText2Char">
    <w:name w:val="Body Text 2 Char"/>
    <w:link w:val="BodyText2"/>
    <w:semiHidden/>
    <w:locked/>
    <w:rsid w:val="005D4850"/>
    <w:rPr>
      <w:rFonts w:cs="Times New Roman"/>
      <w:sz w:val="24"/>
      <w:szCs w:val="24"/>
      <w:lang w:eastAsia="ar-SA" w:bidi="ar-SA"/>
    </w:rPr>
  </w:style>
  <w:style w:type="paragraph" w:styleId="BlockText">
    <w:name w:val="Block Text"/>
    <w:aliases w:val="Block Text list,Blo&#10;i,Bloi"/>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ascii="Cambria" w:hAnsi="Cambria"/>
      <w:b/>
      <w:bCs/>
      <w:kern w:val="28"/>
      <w:sz w:val="32"/>
      <w:szCs w:val="32"/>
    </w:rPr>
  </w:style>
  <w:style w:type="character" w:customStyle="1" w:styleId="TitleChar">
    <w:name w:val="Title Char"/>
    <w:link w:val="Title"/>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uiPriority w:val="99"/>
    <w:semiHidden/>
    <w:rsid w:val="00BA59F9"/>
    <w:rPr>
      <w:rFonts w:cs="Times New Roman"/>
      <w:color w:val="800080"/>
      <w:u w:val="single"/>
    </w:rPr>
  </w:style>
  <w:style w:type="character" w:styleId="PageNumber">
    <w:name w:val="page number"/>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39"/>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39"/>
    <w:rsid w:val="00CC4AA1"/>
    <w:pPr>
      <w:tabs>
        <w:tab w:val="right" w:pos="9063"/>
      </w:tabs>
      <w:ind w:left="240" w:hanging="322"/>
    </w:pPr>
  </w:style>
  <w:style w:type="paragraph" w:styleId="TOC3">
    <w:name w:val="toc 3"/>
    <w:basedOn w:val="Normal"/>
    <w:next w:val="Normal"/>
    <w:autoRedefine/>
    <w:uiPriority w:val="39"/>
    <w:rsid w:val="00BA59F9"/>
    <w:pPr>
      <w:bidi w:val="0"/>
      <w:ind w:left="480"/>
    </w:pPr>
  </w:style>
  <w:style w:type="paragraph" w:styleId="TOC4">
    <w:name w:val="toc 4"/>
    <w:basedOn w:val="Normal"/>
    <w:next w:val="Normal"/>
    <w:autoRedefine/>
    <w:uiPriority w:val="39"/>
    <w:rsid w:val="00BA59F9"/>
    <w:pPr>
      <w:bidi w:val="0"/>
      <w:ind w:left="720"/>
    </w:pPr>
  </w:style>
  <w:style w:type="paragraph" w:styleId="TOC5">
    <w:name w:val="toc 5"/>
    <w:basedOn w:val="Normal"/>
    <w:next w:val="Normal"/>
    <w:autoRedefine/>
    <w:uiPriority w:val="39"/>
    <w:rsid w:val="00BA59F9"/>
    <w:pPr>
      <w:bidi w:val="0"/>
      <w:ind w:left="960"/>
    </w:pPr>
  </w:style>
  <w:style w:type="paragraph" w:styleId="TOC6">
    <w:name w:val="toc 6"/>
    <w:basedOn w:val="Normal"/>
    <w:next w:val="Normal"/>
    <w:autoRedefine/>
    <w:uiPriority w:val="39"/>
    <w:rsid w:val="00BA59F9"/>
    <w:pPr>
      <w:bidi w:val="0"/>
      <w:ind w:left="1200"/>
    </w:pPr>
  </w:style>
  <w:style w:type="paragraph" w:styleId="TOC7">
    <w:name w:val="toc 7"/>
    <w:basedOn w:val="Normal"/>
    <w:next w:val="Normal"/>
    <w:autoRedefine/>
    <w:uiPriority w:val="39"/>
    <w:rsid w:val="00BA59F9"/>
    <w:pPr>
      <w:bidi w:val="0"/>
      <w:ind w:left="1440"/>
    </w:pPr>
  </w:style>
  <w:style w:type="paragraph" w:styleId="TOC8">
    <w:name w:val="toc 8"/>
    <w:basedOn w:val="Normal"/>
    <w:next w:val="Normal"/>
    <w:autoRedefine/>
    <w:uiPriority w:val="39"/>
    <w:rsid w:val="00BA59F9"/>
    <w:pPr>
      <w:bidi w:val="0"/>
      <w:ind w:left="1680"/>
    </w:pPr>
  </w:style>
  <w:style w:type="paragraph" w:styleId="TOC9">
    <w:name w:val="toc 9"/>
    <w:basedOn w:val="Normal"/>
    <w:next w:val="Normal"/>
    <w:autoRedefine/>
    <w:uiPriority w:val="39"/>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uiPriority w:val="99"/>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semiHidden/>
    <w:rsid w:val="00BA59F9"/>
    <w:pPr>
      <w:ind w:left="1"/>
      <w:jc w:val="both"/>
    </w:pPr>
  </w:style>
  <w:style w:type="character" w:customStyle="1" w:styleId="BodyTextIndent2Char">
    <w:name w:val="Body Text Indent 2 Char"/>
    <w:link w:val="BodyTextIndent2"/>
    <w:semiHidden/>
    <w:locked/>
    <w:rsid w:val="005D4850"/>
    <w:rPr>
      <w:rFonts w:cs="Times New Roman"/>
      <w:sz w:val="24"/>
      <w:szCs w:val="24"/>
      <w:lang w:eastAsia="ar-SA" w:bidi="ar-SA"/>
    </w:rPr>
  </w:style>
  <w:style w:type="paragraph" w:styleId="BodyText3">
    <w:name w:val="Body Text 3"/>
    <w:basedOn w:val="Normal"/>
    <w:link w:val="BodyText3Char"/>
    <w:semiHidden/>
    <w:rsid w:val="00BA59F9"/>
    <w:pPr>
      <w:tabs>
        <w:tab w:val="left" w:pos="1576"/>
        <w:tab w:val="left" w:pos="8522"/>
      </w:tabs>
      <w:jc w:val="lowKashida"/>
    </w:pPr>
    <w:rPr>
      <w:sz w:val="16"/>
      <w:szCs w:val="16"/>
    </w:rPr>
  </w:style>
  <w:style w:type="character" w:customStyle="1" w:styleId="BodyText3Char">
    <w:name w:val="Body Text 3 Char"/>
    <w:link w:val="BodyText3"/>
    <w:semiHidden/>
    <w:locked/>
    <w:rsid w:val="005D4850"/>
    <w:rPr>
      <w:rFonts w:cs="Times New Roman"/>
      <w:sz w:val="16"/>
      <w:szCs w:val="16"/>
      <w:lang w:eastAsia="ar-SA" w:bidi="ar-SA"/>
    </w:rPr>
  </w:style>
  <w:style w:type="paragraph" w:styleId="BodyTextIndent3">
    <w:name w:val="Body Text Indent 3"/>
    <w:basedOn w:val="Normal"/>
    <w:link w:val="BodyTextIndent3Char"/>
    <w:semiHidden/>
    <w:rsid w:val="00BA59F9"/>
    <w:pPr>
      <w:ind w:left="44"/>
      <w:jc w:val="lowKashida"/>
    </w:pPr>
    <w:rPr>
      <w:sz w:val="16"/>
      <w:szCs w:val="16"/>
    </w:rPr>
  </w:style>
  <w:style w:type="character" w:customStyle="1" w:styleId="BodyTextIndent3Char">
    <w:name w:val="Body Text Indent 3 Char"/>
    <w:link w:val="BodyTextIndent3"/>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link w:val="BalloonText"/>
    <w:uiPriority w:val="99"/>
    <w:semiHidden/>
    <w:locked/>
    <w:rsid w:val="002201D2"/>
    <w:rPr>
      <w:rFonts w:ascii="Tahoma" w:hAnsi="Tahoma" w:cs="Tahoma"/>
      <w:sz w:val="16"/>
      <w:szCs w:val="16"/>
      <w:lang w:eastAsia="ar-SA" w:bidi="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607FA2"/>
    <w:pPr>
      <w:ind w:left="720"/>
    </w:pPr>
  </w:style>
  <w:style w:type="table" w:styleId="TableGrid">
    <w:name w:val="Table Grid"/>
    <w:basedOn w:val="TableNormal"/>
    <w:uiPriority w:val="99"/>
    <w:locked/>
    <w:rsid w:val="00220A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locked/>
    <w:rsid w:val="0005523C"/>
    <w:pPr>
      <w:overflowPunct w:val="0"/>
      <w:autoSpaceDE w:val="0"/>
      <w:autoSpaceDN w:val="0"/>
      <w:bidi w:val="0"/>
      <w:adjustRightInd w:val="0"/>
      <w:textAlignment w:val="baseline"/>
    </w:pPr>
    <w:rPr>
      <w:sz w:val="20"/>
      <w:szCs w:val="20"/>
    </w:rPr>
  </w:style>
  <w:style w:type="character" w:customStyle="1" w:styleId="FootnoteTextChar">
    <w:name w:val="Footnote Text Char"/>
    <w:link w:val="FootnoteText"/>
    <w:semiHidden/>
    <w:rsid w:val="0005523C"/>
    <w:rPr>
      <w:sz w:val="20"/>
      <w:szCs w:val="20"/>
    </w:rPr>
  </w:style>
  <w:style w:type="character" w:styleId="FootnoteReference">
    <w:name w:val="footnote reference"/>
    <w:semiHidden/>
    <w:unhideWhenUsed/>
    <w:locked/>
    <w:rsid w:val="005E1633"/>
    <w:rPr>
      <w:vertAlign w:val="superscript"/>
    </w:rPr>
  </w:style>
  <w:style w:type="paragraph" w:customStyle="1" w:styleId="xl69">
    <w:name w:val="xl69"/>
    <w:basedOn w:val="Normal"/>
    <w:rsid w:val="000C3BD7"/>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696754"/>
    <w:pPr>
      <w:jc w:val="lowKashida"/>
    </w:pPr>
    <w:rPr>
      <w:b/>
      <w:bCs/>
    </w:rPr>
  </w:style>
  <w:style w:type="character" w:customStyle="1" w:styleId="SubtitleChar">
    <w:name w:val="Subtitle Char"/>
    <w:link w:val="Subtitle"/>
    <w:rsid w:val="00696754"/>
    <w:rPr>
      <w:rFonts w:cs="Simplified Arabic"/>
      <w:b/>
      <w:bCs/>
      <w:sz w:val="24"/>
      <w:szCs w:val="24"/>
    </w:rPr>
  </w:style>
  <w:style w:type="character" w:customStyle="1" w:styleId="CommentSubjectChar">
    <w:name w:val="Comment Subject Char"/>
    <w:basedOn w:val="CommentTextChar"/>
    <w:link w:val="CommentSubject"/>
    <w:uiPriority w:val="99"/>
    <w:semiHidden/>
    <w:rsid w:val="00696754"/>
    <w:rPr>
      <w:rFonts w:cs="Times New Roman"/>
      <w:sz w:val="20"/>
      <w:szCs w:val="20"/>
      <w:lang w:eastAsia="ar-SA" w:bidi="ar-SA"/>
    </w:rPr>
  </w:style>
  <w:style w:type="paragraph" w:styleId="CommentSubject">
    <w:name w:val="annotation subject"/>
    <w:basedOn w:val="CommentText"/>
    <w:next w:val="CommentText"/>
    <w:link w:val="CommentSubjectChar"/>
    <w:uiPriority w:val="99"/>
    <w:semiHidden/>
    <w:unhideWhenUsed/>
    <w:locked/>
    <w:rsid w:val="00696754"/>
    <w:pPr>
      <w:spacing w:after="200"/>
    </w:pPr>
    <w:rPr>
      <w:b/>
      <w:bCs/>
    </w:rPr>
  </w:style>
  <w:style w:type="character" w:customStyle="1" w:styleId="CommentSubjectChar1">
    <w:name w:val="Comment Subject Char1"/>
    <w:uiPriority w:val="99"/>
    <w:semiHidden/>
    <w:rsid w:val="00696754"/>
    <w:rPr>
      <w:rFonts w:cs="Times New Roman"/>
      <w:b/>
      <w:bCs/>
      <w:sz w:val="20"/>
      <w:szCs w:val="20"/>
      <w:lang w:eastAsia="ar-SA" w:bidi="ar-SA"/>
    </w:rPr>
  </w:style>
  <w:style w:type="paragraph" w:styleId="TOCHeading">
    <w:name w:val="TOC Heading"/>
    <w:basedOn w:val="Heading1"/>
    <w:next w:val="Normal"/>
    <w:uiPriority w:val="39"/>
    <w:unhideWhenUsed/>
    <w:qFormat/>
    <w:rsid w:val="004A76D9"/>
    <w:pPr>
      <w:keepLines/>
      <w:bidi w:val="0"/>
      <w:spacing w:before="480" w:line="276" w:lineRule="auto"/>
      <w:jc w:val="left"/>
      <w:outlineLvl w:val="9"/>
    </w:pPr>
    <w:rPr>
      <w:color w:val="365F91"/>
      <w:sz w:val="28"/>
      <w:szCs w:val="28"/>
      <w:lang w:eastAsia="en-US"/>
    </w:rPr>
  </w:style>
  <w:style w:type="paragraph" w:styleId="HTMLPreformatted">
    <w:name w:val="HTML Preformatted"/>
    <w:basedOn w:val="Normal"/>
    <w:link w:val="HTMLPreformattedChar"/>
    <w:uiPriority w:val="99"/>
    <w:locked/>
    <w:rsid w:val="00194802"/>
    <w:rPr>
      <w:rFonts w:ascii="Courier New" w:hAnsi="Courier New"/>
      <w:snapToGrid w:val="0"/>
      <w:sz w:val="20"/>
      <w:szCs w:val="20"/>
    </w:rPr>
  </w:style>
  <w:style w:type="character" w:customStyle="1" w:styleId="HTMLPreformattedChar">
    <w:name w:val="HTML Preformatted Char"/>
    <w:link w:val="HTMLPreformatted"/>
    <w:uiPriority w:val="99"/>
    <w:rsid w:val="00194802"/>
    <w:rPr>
      <w:rFonts w:ascii="Courier New" w:hAnsi="Courier New" w:cs="Courier New"/>
      <w:snapToGrid w:val="0"/>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B777F5"/>
    <w:rPr>
      <w:sz w:val="24"/>
      <w:szCs w:val="24"/>
      <w:lang w:eastAsia="ar-SA"/>
    </w:rPr>
  </w:style>
  <w:style w:type="character" w:customStyle="1" w:styleId="hps">
    <w:name w:val="hps"/>
    <w:basedOn w:val="DefaultParagraphFont"/>
    <w:rsid w:val="00B777F5"/>
  </w:style>
  <w:style w:type="table" w:styleId="LightShading-Accent2">
    <w:name w:val="Light Shading Accent 2"/>
    <w:basedOn w:val="TableNormal"/>
    <w:uiPriority w:val="60"/>
    <w:rsid w:val="002A14C3"/>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TableGridLight1">
    <w:name w:val="Table Grid Light1"/>
    <w:basedOn w:val="TableNormal"/>
    <w:uiPriority w:val="40"/>
    <w:rsid w:val="00D568A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shorttext">
    <w:name w:val="short_text"/>
    <w:basedOn w:val="DefaultParagraphFont"/>
    <w:rsid w:val="00E5781C"/>
  </w:style>
  <w:style w:type="character" w:customStyle="1" w:styleId="form-control83">
    <w:name w:val="form-control83"/>
    <w:basedOn w:val="DefaultParagraphFont"/>
    <w:rsid w:val="00E03CBE"/>
    <w:rPr>
      <w:vanish w:val="0"/>
      <w:webHidden w:val="0"/>
      <w:color w:val="555555"/>
      <w:sz w:val="21"/>
      <w:szCs w:val="21"/>
      <w:bdr w:val="single" w:sz="6" w:space="5" w:color="CCCCCC" w:frame="1"/>
      <w:shd w:val="clear" w:color="auto" w:fill="FFFFFF"/>
      <w:specVanish w:val="0"/>
    </w:rPr>
  </w:style>
</w:styles>
</file>

<file path=word/webSettings.xml><?xml version="1.0" encoding="utf-8"?>
<w:webSettings xmlns:r="http://schemas.openxmlformats.org/officeDocument/2006/relationships" xmlns:w="http://schemas.openxmlformats.org/wordprocessingml/2006/main">
  <w:divs>
    <w:div w:id="104154724">
      <w:bodyDiv w:val="1"/>
      <w:marLeft w:val="0"/>
      <w:marRight w:val="0"/>
      <w:marTop w:val="0"/>
      <w:marBottom w:val="0"/>
      <w:divBdr>
        <w:top w:val="none" w:sz="0" w:space="0" w:color="auto"/>
        <w:left w:val="none" w:sz="0" w:space="0" w:color="auto"/>
        <w:bottom w:val="none" w:sz="0" w:space="0" w:color="auto"/>
        <w:right w:val="none" w:sz="0" w:space="0" w:color="auto"/>
      </w:divBdr>
    </w:div>
    <w:div w:id="143162055">
      <w:bodyDiv w:val="1"/>
      <w:marLeft w:val="0"/>
      <w:marRight w:val="0"/>
      <w:marTop w:val="0"/>
      <w:marBottom w:val="0"/>
      <w:divBdr>
        <w:top w:val="none" w:sz="0" w:space="0" w:color="auto"/>
        <w:left w:val="none" w:sz="0" w:space="0" w:color="auto"/>
        <w:bottom w:val="none" w:sz="0" w:space="0" w:color="auto"/>
        <w:right w:val="none" w:sz="0" w:space="0" w:color="auto"/>
      </w:divBdr>
    </w:div>
    <w:div w:id="154880325">
      <w:bodyDiv w:val="1"/>
      <w:marLeft w:val="0"/>
      <w:marRight w:val="0"/>
      <w:marTop w:val="0"/>
      <w:marBottom w:val="0"/>
      <w:divBdr>
        <w:top w:val="none" w:sz="0" w:space="0" w:color="auto"/>
        <w:left w:val="none" w:sz="0" w:space="0" w:color="auto"/>
        <w:bottom w:val="none" w:sz="0" w:space="0" w:color="auto"/>
        <w:right w:val="none" w:sz="0" w:space="0" w:color="auto"/>
      </w:divBdr>
    </w:div>
    <w:div w:id="176386428">
      <w:bodyDiv w:val="1"/>
      <w:marLeft w:val="0"/>
      <w:marRight w:val="0"/>
      <w:marTop w:val="0"/>
      <w:marBottom w:val="0"/>
      <w:divBdr>
        <w:top w:val="none" w:sz="0" w:space="0" w:color="auto"/>
        <w:left w:val="none" w:sz="0" w:space="0" w:color="auto"/>
        <w:bottom w:val="none" w:sz="0" w:space="0" w:color="auto"/>
        <w:right w:val="none" w:sz="0" w:space="0" w:color="auto"/>
      </w:divBdr>
    </w:div>
    <w:div w:id="235554568">
      <w:bodyDiv w:val="1"/>
      <w:marLeft w:val="0"/>
      <w:marRight w:val="0"/>
      <w:marTop w:val="0"/>
      <w:marBottom w:val="0"/>
      <w:divBdr>
        <w:top w:val="none" w:sz="0" w:space="0" w:color="auto"/>
        <w:left w:val="none" w:sz="0" w:space="0" w:color="auto"/>
        <w:bottom w:val="none" w:sz="0" w:space="0" w:color="auto"/>
        <w:right w:val="none" w:sz="0" w:space="0" w:color="auto"/>
      </w:divBdr>
    </w:div>
    <w:div w:id="319695258">
      <w:bodyDiv w:val="1"/>
      <w:marLeft w:val="0"/>
      <w:marRight w:val="0"/>
      <w:marTop w:val="0"/>
      <w:marBottom w:val="0"/>
      <w:divBdr>
        <w:top w:val="none" w:sz="0" w:space="0" w:color="auto"/>
        <w:left w:val="none" w:sz="0" w:space="0" w:color="auto"/>
        <w:bottom w:val="none" w:sz="0" w:space="0" w:color="auto"/>
        <w:right w:val="none" w:sz="0" w:space="0" w:color="auto"/>
      </w:divBdr>
    </w:div>
    <w:div w:id="323050042">
      <w:bodyDiv w:val="1"/>
      <w:marLeft w:val="0"/>
      <w:marRight w:val="0"/>
      <w:marTop w:val="0"/>
      <w:marBottom w:val="0"/>
      <w:divBdr>
        <w:top w:val="none" w:sz="0" w:space="0" w:color="auto"/>
        <w:left w:val="none" w:sz="0" w:space="0" w:color="auto"/>
        <w:bottom w:val="none" w:sz="0" w:space="0" w:color="auto"/>
        <w:right w:val="none" w:sz="0" w:space="0" w:color="auto"/>
      </w:divBdr>
    </w:div>
    <w:div w:id="343554922">
      <w:bodyDiv w:val="1"/>
      <w:marLeft w:val="0"/>
      <w:marRight w:val="0"/>
      <w:marTop w:val="0"/>
      <w:marBottom w:val="0"/>
      <w:divBdr>
        <w:top w:val="none" w:sz="0" w:space="0" w:color="auto"/>
        <w:left w:val="none" w:sz="0" w:space="0" w:color="auto"/>
        <w:bottom w:val="none" w:sz="0" w:space="0" w:color="auto"/>
        <w:right w:val="none" w:sz="0" w:space="0" w:color="auto"/>
      </w:divBdr>
    </w:div>
    <w:div w:id="489061013">
      <w:bodyDiv w:val="1"/>
      <w:marLeft w:val="0"/>
      <w:marRight w:val="0"/>
      <w:marTop w:val="0"/>
      <w:marBottom w:val="0"/>
      <w:divBdr>
        <w:top w:val="none" w:sz="0" w:space="0" w:color="auto"/>
        <w:left w:val="none" w:sz="0" w:space="0" w:color="auto"/>
        <w:bottom w:val="none" w:sz="0" w:space="0" w:color="auto"/>
        <w:right w:val="none" w:sz="0" w:space="0" w:color="auto"/>
      </w:divBdr>
    </w:div>
    <w:div w:id="510879472">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25936037">
      <w:bodyDiv w:val="1"/>
      <w:marLeft w:val="0"/>
      <w:marRight w:val="0"/>
      <w:marTop w:val="0"/>
      <w:marBottom w:val="0"/>
      <w:divBdr>
        <w:top w:val="none" w:sz="0" w:space="0" w:color="auto"/>
        <w:left w:val="none" w:sz="0" w:space="0" w:color="auto"/>
        <w:bottom w:val="none" w:sz="0" w:space="0" w:color="auto"/>
        <w:right w:val="none" w:sz="0" w:space="0" w:color="auto"/>
      </w:divBdr>
    </w:div>
    <w:div w:id="749544997">
      <w:bodyDiv w:val="1"/>
      <w:marLeft w:val="0"/>
      <w:marRight w:val="0"/>
      <w:marTop w:val="0"/>
      <w:marBottom w:val="0"/>
      <w:divBdr>
        <w:top w:val="none" w:sz="0" w:space="0" w:color="auto"/>
        <w:left w:val="none" w:sz="0" w:space="0" w:color="auto"/>
        <w:bottom w:val="none" w:sz="0" w:space="0" w:color="auto"/>
        <w:right w:val="none" w:sz="0" w:space="0" w:color="auto"/>
      </w:divBdr>
    </w:div>
    <w:div w:id="819888125">
      <w:bodyDiv w:val="1"/>
      <w:marLeft w:val="0"/>
      <w:marRight w:val="0"/>
      <w:marTop w:val="0"/>
      <w:marBottom w:val="0"/>
      <w:divBdr>
        <w:top w:val="none" w:sz="0" w:space="0" w:color="auto"/>
        <w:left w:val="none" w:sz="0" w:space="0" w:color="auto"/>
        <w:bottom w:val="none" w:sz="0" w:space="0" w:color="auto"/>
        <w:right w:val="none" w:sz="0" w:space="0" w:color="auto"/>
      </w:divBdr>
    </w:div>
    <w:div w:id="858422912">
      <w:bodyDiv w:val="1"/>
      <w:marLeft w:val="0"/>
      <w:marRight w:val="0"/>
      <w:marTop w:val="0"/>
      <w:marBottom w:val="0"/>
      <w:divBdr>
        <w:top w:val="none" w:sz="0" w:space="0" w:color="auto"/>
        <w:left w:val="none" w:sz="0" w:space="0" w:color="auto"/>
        <w:bottom w:val="none" w:sz="0" w:space="0" w:color="auto"/>
        <w:right w:val="none" w:sz="0" w:space="0" w:color="auto"/>
      </w:divBdr>
    </w:div>
    <w:div w:id="899630192">
      <w:bodyDiv w:val="1"/>
      <w:marLeft w:val="0"/>
      <w:marRight w:val="0"/>
      <w:marTop w:val="0"/>
      <w:marBottom w:val="0"/>
      <w:divBdr>
        <w:top w:val="none" w:sz="0" w:space="0" w:color="auto"/>
        <w:left w:val="none" w:sz="0" w:space="0" w:color="auto"/>
        <w:bottom w:val="none" w:sz="0" w:space="0" w:color="auto"/>
        <w:right w:val="none" w:sz="0" w:space="0" w:color="auto"/>
      </w:divBdr>
    </w:div>
    <w:div w:id="1000039285">
      <w:bodyDiv w:val="1"/>
      <w:marLeft w:val="0"/>
      <w:marRight w:val="0"/>
      <w:marTop w:val="0"/>
      <w:marBottom w:val="0"/>
      <w:divBdr>
        <w:top w:val="none" w:sz="0" w:space="0" w:color="auto"/>
        <w:left w:val="none" w:sz="0" w:space="0" w:color="auto"/>
        <w:bottom w:val="none" w:sz="0" w:space="0" w:color="auto"/>
        <w:right w:val="none" w:sz="0" w:space="0" w:color="auto"/>
      </w:divBdr>
    </w:div>
    <w:div w:id="1005940454">
      <w:bodyDiv w:val="1"/>
      <w:marLeft w:val="0"/>
      <w:marRight w:val="0"/>
      <w:marTop w:val="0"/>
      <w:marBottom w:val="0"/>
      <w:divBdr>
        <w:top w:val="none" w:sz="0" w:space="0" w:color="auto"/>
        <w:left w:val="none" w:sz="0" w:space="0" w:color="auto"/>
        <w:bottom w:val="none" w:sz="0" w:space="0" w:color="auto"/>
        <w:right w:val="none" w:sz="0" w:space="0" w:color="auto"/>
      </w:divBdr>
    </w:div>
    <w:div w:id="1025402579">
      <w:bodyDiv w:val="1"/>
      <w:marLeft w:val="0"/>
      <w:marRight w:val="0"/>
      <w:marTop w:val="0"/>
      <w:marBottom w:val="0"/>
      <w:divBdr>
        <w:top w:val="none" w:sz="0" w:space="0" w:color="auto"/>
        <w:left w:val="none" w:sz="0" w:space="0" w:color="auto"/>
        <w:bottom w:val="none" w:sz="0" w:space="0" w:color="auto"/>
        <w:right w:val="none" w:sz="0" w:space="0" w:color="auto"/>
      </w:divBdr>
    </w:div>
    <w:div w:id="1075317282">
      <w:bodyDiv w:val="1"/>
      <w:marLeft w:val="0"/>
      <w:marRight w:val="0"/>
      <w:marTop w:val="0"/>
      <w:marBottom w:val="0"/>
      <w:divBdr>
        <w:top w:val="none" w:sz="0" w:space="0" w:color="auto"/>
        <w:left w:val="none" w:sz="0" w:space="0" w:color="auto"/>
        <w:bottom w:val="none" w:sz="0" w:space="0" w:color="auto"/>
        <w:right w:val="none" w:sz="0" w:space="0" w:color="auto"/>
      </w:divBdr>
    </w:div>
    <w:div w:id="1096055447">
      <w:bodyDiv w:val="1"/>
      <w:marLeft w:val="0"/>
      <w:marRight w:val="0"/>
      <w:marTop w:val="0"/>
      <w:marBottom w:val="0"/>
      <w:divBdr>
        <w:top w:val="none" w:sz="0" w:space="0" w:color="auto"/>
        <w:left w:val="none" w:sz="0" w:space="0" w:color="auto"/>
        <w:bottom w:val="none" w:sz="0" w:space="0" w:color="auto"/>
        <w:right w:val="none" w:sz="0" w:space="0" w:color="auto"/>
      </w:divBdr>
    </w:div>
    <w:div w:id="1155343084">
      <w:bodyDiv w:val="1"/>
      <w:marLeft w:val="0"/>
      <w:marRight w:val="0"/>
      <w:marTop w:val="0"/>
      <w:marBottom w:val="0"/>
      <w:divBdr>
        <w:top w:val="none" w:sz="0" w:space="0" w:color="auto"/>
        <w:left w:val="none" w:sz="0" w:space="0" w:color="auto"/>
        <w:bottom w:val="none" w:sz="0" w:space="0" w:color="auto"/>
        <w:right w:val="none" w:sz="0" w:space="0" w:color="auto"/>
      </w:divBdr>
    </w:div>
    <w:div w:id="1162240628">
      <w:bodyDiv w:val="1"/>
      <w:marLeft w:val="0"/>
      <w:marRight w:val="0"/>
      <w:marTop w:val="0"/>
      <w:marBottom w:val="0"/>
      <w:divBdr>
        <w:top w:val="none" w:sz="0" w:space="0" w:color="auto"/>
        <w:left w:val="none" w:sz="0" w:space="0" w:color="auto"/>
        <w:bottom w:val="none" w:sz="0" w:space="0" w:color="auto"/>
        <w:right w:val="none" w:sz="0" w:space="0" w:color="auto"/>
      </w:divBdr>
    </w:div>
    <w:div w:id="1165629444">
      <w:bodyDiv w:val="1"/>
      <w:marLeft w:val="0"/>
      <w:marRight w:val="0"/>
      <w:marTop w:val="0"/>
      <w:marBottom w:val="0"/>
      <w:divBdr>
        <w:top w:val="none" w:sz="0" w:space="0" w:color="auto"/>
        <w:left w:val="none" w:sz="0" w:space="0" w:color="auto"/>
        <w:bottom w:val="none" w:sz="0" w:space="0" w:color="auto"/>
        <w:right w:val="none" w:sz="0" w:space="0" w:color="auto"/>
      </w:divBdr>
    </w:div>
    <w:div w:id="1224678069">
      <w:bodyDiv w:val="1"/>
      <w:marLeft w:val="0"/>
      <w:marRight w:val="0"/>
      <w:marTop w:val="0"/>
      <w:marBottom w:val="0"/>
      <w:divBdr>
        <w:top w:val="none" w:sz="0" w:space="0" w:color="auto"/>
        <w:left w:val="none" w:sz="0" w:space="0" w:color="auto"/>
        <w:bottom w:val="none" w:sz="0" w:space="0" w:color="auto"/>
        <w:right w:val="none" w:sz="0" w:space="0" w:color="auto"/>
      </w:divBdr>
    </w:div>
    <w:div w:id="1346522081">
      <w:bodyDiv w:val="1"/>
      <w:marLeft w:val="0"/>
      <w:marRight w:val="0"/>
      <w:marTop w:val="0"/>
      <w:marBottom w:val="0"/>
      <w:divBdr>
        <w:top w:val="none" w:sz="0" w:space="0" w:color="auto"/>
        <w:left w:val="none" w:sz="0" w:space="0" w:color="auto"/>
        <w:bottom w:val="none" w:sz="0" w:space="0" w:color="auto"/>
        <w:right w:val="none" w:sz="0" w:space="0" w:color="auto"/>
      </w:divBdr>
    </w:div>
    <w:div w:id="1381054542">
      <w:bodyDiv w:val="1"/>
      <w:marLeft w:val="0"/>
      <w:marRight w:val="0"/>
      <w:marTop w:val="0"/>
      <w:marBottom w:val="0"/>
      <w:divBdr>
        <w:top w:val="none" w:sz="0" w:space="0" w:color="auto"/>
        <w:left w:val="none" w:sz="0" w:space="0" w:color="auto"/>
        <w:bottom w:val="none" w:sz="0" w:space="0" w:color="auto"/>
        <w:right w:val="none" w:sz="0" w:space="0" w:color="auto"/>
      </w:divBdr>
    </w:div>
    <w:div w:id="1395154149">
      <w:bodyDiv w:val="1"/>
      <w:marLeft w:val="0"/>
      <w:marRight w:val="0"/>
      <w:marTop w:val="0"/>
      <w:marBottom w:val="0"/>
      <w:divBdr>
        <w:top w:val="none" w:sz="0" w:space="0" w:color="auto"/>
        <w:left w:val="none" w:sz="0" w:space="0" w:color="auto"/>
        <w:bottom w:val="none" w:sz="0" w:space="0" w:color="auto"/>
        <w:right w:val="none" w:sz="0" w:space="0" w:color="auto"/>
      </w:divBdr>
    </w:div>
    <w:div w:id="1427116937">
      <w:bodyDiv w:val="1"/>
      <w:marLeft w:val="0"/>
      <w:marRight w:val="0"/>
      <w:marTop w:val="0"/>
      <w:marBottom w:val="0"/>
      <w:divBdr>
        <w:top w:val="none" w:sz="0" w:space="0" w:color="auto"/>
        <w:left w:val="none" w:sz="0" w:space="0" w:color="auto"/>
        <w:bottom w:val="none" w:sz="0" w:space="0" w:color="auto"/>
        <w:right w:val="none" w:sz="0" w:space="0" w:color="auto"/>
      </w:divBdr>
    </w:div>
    <w:div w:id="1430082916">
      <w:bodyDiv w:val="1"/>
      <w:marLeft w:val="0"/>
      <w:marRight w:val="0"/>
      <w:marTop w:val="0"/>
      <w:marBottom w:val="0"/>
      <w:divBdr>
        <w:top w:val="none" w:sz="0" w:space="0" w:color="auto"/>
        <w:left w:val="none" w:sz="0" w:space="0" w:color="auto"/>
        <w:bottom w:val="none" w:sz="0" w:space="0" w:color="auto"/>
        <w:right w:val="none" w:sz="0" w:space="0" w:color="auto"/>
      </w:divBdr>
    </w:div>
    <w:div w:id="1495294340">
      <w:bodyDiv w:val="1"/>
      <w:marLeft w:val="0"/>
      <w:marRight w:val="0"/>
      <w:marTop w:val="0"/>
      <w:marBottom w:val="0"/>
      <w:divBdr>
        <w:top w:val="none" w:sz="0" w:space="0" w:color="auto"/>
        <w:left w:val="none" w:sz="0" w:space="0" w:color="auto"/>
        <w:bottom w:val="none" w:sz="0" w:space="0" w:color="auto"/>
        <w:right w:val="none" w:sz="0" w:space="0" w:color="auto"/>
      </w:divBdr>
    </w:div>
    <w:div w:id="1545942982">
      <w:bodyDiv w:val="1"/>
      <w:marLeft w:val="0"/>
      <w:marRight w:val="0"/>
      <w:marTop w:val="0"/>
      <w:marBottom w:val="0"/>
      <w:divBdr>
        <w:top w:val="none" w:sz="0" w:space="0" w:color="auto"/>
        <w:left w:val="none" w:sz="0" w:space="0" w:color="auto"/>
        <w:bottom w:val="none" w:sz="0" w:space="0" w:color="auto"/>
        <w:right w:val="none" w:sz="0" w:space="0" w:color="auto"/>
      </w:divBdr>
    </w:div>
    <w:div w:id="1582368838">
      <w:bodyDiv w:val="1"/>
      <w:marLeft w:val="0"/>
      <w:marRight w:val="0"/>
      <w:marTop w:val="0"/>
      <w:marBottom w:val="0"/>
      <w:divBdr>
        <w:top w:val="none" w:sz="0" w:space="0" w:color="auto"/>
        <w:left w:val="none" w:sz="0" w:space="0" w:color="auto"/>
        <w:bottom w:val="none" w:sz="0" w:space="0" w:color="auto"/>
        <w:right w:val="none" w:sz="0" w:space="0" w:color="auto"/>
      </w:divBdr>
    </w:div>
    <w:div w:id="1597401602">
      <w:bodyDiv w:val="1"/>
      <w:marLeft w:val="0"/>
      <w:marRight w:val="0"/>
      <w:marTop w:val="0"/>
      <w:marBottom w:val="0"/>
      <w:divBdr>
        <w:top w:val="none" w:sz="0" w:space="0" w:color="auto"/>
        <w:left w:val="none" w:sz="0" w:space="0" w:color="auto"/>
        <w:bottom w:val="none" w:sz="0" w:space="0" w:color="auto"/>
        <w:right w:val="none" w:sz="0" w:space="0" w:color="auto"/>
      </w:divBdr>
    </w:div>
    <w:div w:id="1627391266">
      <w:bodyDiv w:val="1"/>
      <w:marLeft w:val="0"/>
      <w:marRight w:val="0"/>
      <w:marTop w:val="0"/>
      <w:marBottom w:val="0"/>
      <w:divBdr>
        <w:top w:val="none" w:sz="0" w:space="0" w:color="auto"/>
        <w:left w:val="none" w:sz="0" w:space="0" w:color="auto"/>
        <w:bottom w:val="none" w:sz="0" w:space="0" w:color="auto"/>
        <w:right w:val="none" w:sz="0" w:space="0" w:color="auto"/>
      </w:divBdr>
    </w:div>
    <w:div w:id="1679308165">
      <w:bodyDiv w:val="1"/>
      <w:marLeft w:val="0"/>
      <w:marRight w:val="0"/>
      <w:marTop w:val="0"/>
      <w:marBottom w:val="0"/>
      <w:divBdr>
        <w:top w:val="none" w:sz="0" w:space="0" w:color="auto"/>
        <w:left w:val="none" w:sz="0" w:space="0" w:color="auto"/>
        <w:bottom w:val="none" w:sz="0" w:space="0" w:color="auto"/>
        <w:right w:val="none" w:sz="0" w:space="0" w:color="auto"/>
      </w:divBdr>
    </w:div>
    <w:div w:id="1816607383">
      <w:bodyDiv w:val="1"/>
      <w:marLeft w:val="0"/>
      <w:marRight w:val="0"/>
      <w:marTop w:val="0"/>
      <w:marBottom w:val="0"/>
      <w:divBdr>
        <w:top w:val="none" w:sz="0" w:space="0" w:color="auto"/>
        <w:left w:val="none" w:sz="0" w:space="0" w:color="auto"/>
        <w:bottom w:val="none" w:sz="0" w:space="0" w:color="auto"/>
        <w:right w:val="none" w:sz="0" w:space="0" w:color="auto"/>
      </w:divBdr>
    </w:div>
    <w:div w:id="1886137496">
      <w:bodyDiv w:val="1"/>
      <w:marLeft w:val="0"/>
      <w:marRight w:val="0"/>
      <w:marTop w:val="0"/>
      <w:marBottom w:val="0"/>
      <w:divBdr>
        <w:top w:val="none" w:sz="0" w:space="0" w:color="auto"/>
        <w:left w:val="none" w:sz="0" w:space="0" w:color="auto"/>
        <w:bottom w:val="none" w:sz="0" w:space="0" w:color="auto"/>
        <w:right w:val="none" w:sz="0" w:space="0" w:color="auto"/>
      </w:divBdr>
    </w:div>
    <w:div w:id="1894073350">
      <w:bodyDiv w:val="1"/>
      <w:marLeft w:val="0"/>
      <w:marRight w:val="0"/>
      <w:marTop w:val="0"/>
      <w:marBottom w:val="0"/>
      <w:divBdr>
        <w:top w:val="none" w:sz="0" w:space="0" w:color="auto"/>
        <w:left w:val="none" w:sz="0" w:space="0" w:color="auto"/>
        <w:bottom w:val="none" w:sz="0" w:space="0" w:color="auto"/>
        <w:right w:val="none" w:sz="0" w:space="0" w:color="auto"/>
      </w:divBdr>
    </w:div>
    <w:div w:id="1963535910">
      <w:bodyDiv w:val="1"/>
      <w:marLeft w:val="0"/>
      <w:marRight w:val="0"/>
      <w:marTop w:val="0"/>
      <w:marBottom w:val="0"/>
      <w:divBdr>
        <w:top w:val="none" w:sz="0" w:space="0" w:color="auto"/>
        <w:left w:val="none" w:sz="0" w:space="0" w:color="auto"/>
        <w:bottom w:val="none" w:sz="0" w:space="0" w:color="auto"/>
        <w:right w:val="none" w:sz="0" w:space="0" w:color="auto"/>
      </w:divBdr>
    </w:div>
    <w:div w:id="2004964529">
      <w:bodyDiv w:val="1"/>
      <w:marLeft w:val="0"/>
      <w:marRight w:val="0"/>
      <w:marTop w:val="0"/>
      <w:marBottom w:val="0"/>
      <w:divBdr>
        <w:top w:val="none" w:sz="0" w:space="0" w:color="auto"/>
        <w:left w:val="none" w:sz="0" w:space="0" w:color="auto"/>
        <w:bottom w:val="none" w:sz="0" w:space="0" w:color="auto"/>
        <w:right w:val="none" w:sz="0" w:space="0" w:color="auto"/>
      </w:divBdr>
    </w:div>
    <w:div w:id="2069569337">
      <w:bodyDiv w:val="1"/>
      <w:marLeft w:val="0"/>
      <w:marRight w:val="0"/>
      <w:marTop w:val="0"/>
      <w:marBottom w:val="0"/>
      <w:divBdr>
        <w:top w:val="none" w:sz="0" w:space="0" w:color="auto"/>
        <w:left w:val="none" w:sz="0" w:space="0" w:color="auto"/>
        <w:bottom w:val="none" w:sz="0" w:space="0" w:color="auto"/>
        <w:right w:val="none" w:sz="0" w:space="0" w:color="auto"/>
      </w:divBdr>
    </w:div>
    <w:div w:id="210452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42778504381867538"/>
          <c:y val="4.9497274379164395E-2"/>
          <c:w val="0.50179687708527965"/>
          <c:h val="0.80549829264653217"/>
        </c:manualLayout>
      </c:layout>
      <c:barChart>
        <c:barDir val="bar"/>
        <c:grouping val="clustered"/>
        <c:ser>
          <c:idx val="0"/>
          <c:order val="0"/>
          <c:tx>
            <c:strRef>
              <c:f>Sheet1!$B$1</c:f>
              <c:strCache>
                <c:ptCount val="1"/>
                <c:pt idx="0">
                  <c:v>فلسطين</c:v>
                </c:pt>
              </c:strCache>
            </c:strRef>
          </c:tx>
          <c:dLbls>
            <c:dLbl>
              <c:idx val="0"/>
              <c:layout>
                <c:manualLayout>
                  <c:x val="-1.1299435028248589E-2"/>
                  <c:y val="-8.2051282051282537E-3"/>
                </c:manualLayout>
              </c:layout>
              <c:showVal val="1"/>
            </c:dLbl>
            <c:txPr>
              <a:bodyPr/>
              <a:lstStyle/>
              <a:p>
                <a:pPr>
                  <a:defRPr>
                    <a:latin typeface="Arial" pitchFamily="34" charset="0"/>
                    <a:cs typeface="Arial" pitchFamily="34" charset="0"/>
                  </a:defRPr>
                </a:pPr>
                <a:endParaRPr lang="ar-SA"/>
              </a:p>
            </c:txPr>
            <c:showVal val="1"/>
          </c:dLbls>
          <c:cat>
            <c:strRef>
              <c:f>Sheet1!$A$2:$A$11</c:f>
              <c:strCache>
                <c:ptCount val="10"/>
                <c:pt idx="0">
                  <c:v>Ministry of Interior</c:v>
                </c:pt>
                <c:pt idx="1">
                  <c:v>Palestinian civil police</c:v>
                </c:pt>
                <c:pt idx="2">
                  <c:v>Sharia’courts/ Church courts</c:v>
                </c:pt>
                <c:pt idx="3">
                  <c:v>Regular courts</c:v>
                </c:pt>
                <c:pt idx="4">
                  <c:v>Tribal justice and Informal mechanisms</c:v>
                </c:pt>
                <c:pt idx="5">
                  <c:v>Public prosecution</c:v>
                </c:pt>
                <c:pt idx="6">
                  <c:v>Correction and rehabilitation centers</c:v>
                </c:pt>
                <c:pt idx="7">
                  <c:v>Palestinian security forces</c:v>
                </c:pt>
                <c:pt idx="8">
                  <c:v>Ministry of Justice </c:v>
                </c:pt>
                <c:pt idx="9">
                  <c:v>Military courts</c:v>
                </c:pt>
              </c:strCache>
            </c:strRef>
          </c:cat>
          <c:val>
            <c:numRef>
              <c:f>Sheet1!$B$2:$B$11</c:f>
              <c:numCache>
                <c:formatCode>\ \ 0.0</c:formatCode>
                <c:ptCount val="10"/>
                <c:pt idx="0">
                  <c:v>8.4</c:v>
                </c:pt>
                <c:pt idx="1">
                  <c:v>6.7</c:v>
                </c:pt>
                <c:pt idx="2">
                  <c:v>4.7</c:v>
                </c:pt>
                <c:pt idx="3">
                  <c:v>4.0999999999999996</c:v>
                </c:pt>
                <c:pt idx="4">
                  <c:v>2.2999999999999998</c:v>
                </c:pt>
                <c:pt idx="5">
                  <c:v>1.5</c:v>
                </c:pt>
                <c:pt idx="6">
                  <c:v>1.3</c:v>
                </c:pt>
                <c:pt idx="7">
                  <c:v>0.60000000000000064</c:v>
                </c:pt>
                <c:pt idx="8">
                  <c:v>0.5</c:v>
                </c:pt>
                <c:pt idx="9">
                  <c:v>0.1</c:v>
                </c:pt>
              </c:numCache>
            </c:numRef>
          </c:val>
        </c:ser>
        <c:axId val="52648960"/>
        <c:axId val="52679808"/>
      </c:barChart>
      <c:catAx>
        <c:axId val="52648960"/>
        <c:scaling>
          <c:orientation val="minMax"/>
        </c:scaling>
        <c:axPos val="l"/>
        <c:title>
          <c:tx>
            <c:rich>
              <a:bodyPr rot="-5400000" vert="horz"/>
              <a:lstStyle/>
              <a:p>
                <a:pPr>
                  <a:defRPr>
                    <a:latin typeface="Arial" pitchFamily="34" charset="0"/>
                    <a:cs typeface="Arial" pitchFamily="34" charset="0"/>
                  </a:defRPr>
                </a:pPr>
                <a:r>
                  <a:rPr lang="en-US">
                    <a:latin typeface="Arial" pitchFamily="34" charset="0"/>
                    <a:cs typeface="Arial" pitchFamily="34" charset="0"/>
                  </a:rPr>
                  <a:t>Palestinian Security</a:t>
                </a:r>
                <a:r>
                  <a:rPr lang="en-US" baseline="0">
                    <a:latin typeface="Arial" pitchFamily="34" charset="0"/>
                    <a:cs typeface="Arial" pitchFamily="34" charset="0"/>
                  </a:rPr>
                  <a:t> and Justice Sector</a:t>
                </a:r>
                <a:endParaRPr lang="en-US">
                  <a:latin typeface="Arial" pitchFamily="34" charset="0"/>
                  <a:cs typeface="Arial" pitchFamily="34" charset="0"/>
                </a:endParaRPr>
              </a:p>
            </c:rich>
          </c:tx>
          <c:layout>
            <c:manualLayout>
              <c:xMode val="edge"/>
              <c:yMode val="edge"/>
              <c:x val="1.3559322033898301E-2"/>
              <c:y val="0.10127195639006648"/>
            </c:manualLayout>
          </c:layout>
        </c:title>
        <c:tickLblPos val="nextTo"/>
        <c:txPr>
          <a:bodyPr/>
          <a:lstStyle/>
          <a:p>
            <a:pPr>
              <a:defRPr>
                <a:latin typeface="Arial" pitchFamily="34" charset="0"/>
                <a:cs typeface="Arial" pitchFamily="34" charset="0"/>
              </a:defRPr>
            </a:pPr>
            <a:endParaRPr lang="ar-SA"/>
          </a:p>
        </c:txPr>
        <c:crossAx val="52679808"/>
        <c:crosses val="autoZero"/>
        <c:auto val="1"/>
        <c:lblAlgn val="ctr"/>
        <c:lblOffset val="100"/>
      </c:catAx>
      <c:valAx>
        <c:axId val="52679808"/>
        <c:scaling>
          <c:orientation val="minMax"/>
        </c:scaling>
        <c:axPos val="b"/>
        <c:title>
          <c:tx>
            <c:rich>
              <a:bodyPr/>
              <a:lstStyle/>
              <a:p>
                <a:pPr>
                  <a:defRPr>
                    <a:latin typeface="Arial" pitchFamily="34" charset="0"/>
                    <a:cs typeface="Arial" pitchFamily="34" charset="0"/>
                  </a:defRPr>
                </a:pPr>
                <a:r>
                  <a:rPr lang="en-US">
                    <a:latin typeface="Arial" pitchFamily="34" charset="0"/>
                    <a:cs typeface="Arial" pitchFamily="34" charset="0"/>
                  </a:rPr>
                  <a:t>Percentage</a:t>
                </a:r>
              </a:p>
            </c:rich>
          </c:tx>
          <c:layout>
            <c:manualLayout>
              <c:xMode val="edge"/>
              <c:yMode val="edge"/>
              <c:x val="0.46480199297121788"/>
              <c:y val="0.91486407008488702"/>
            </c:manualLayout>
          </c:layout>
        </c:title>
        <c:numFmt formatCode="#,##0" sourceLinked="0"/>
        <c:tickLblPos val="nextTo"/>
        <c:txPr>
          <a:bodyPr/>
          <a:lstStyle/>
          <a:p>
            <a:pPr>
              <a:defRPr>
                <a:latin typeface="Arial" pitchFamily="34" charset="0"/>
                <a:cs typeface="Arial" pitchFamily="34" charset="0"/>
              </a:defRPr>
            </a:pPr>
            <a:endParaRPr lang="ar-SA"/>
          </a:p>
        </c:txPr>
        <c:crossAx val="52648960"/>
        <c:crosses val="autoZero"/>
        <c:crossBetween val="between"/>
      </c:valAx>
      <c:spPr>
        <a:noFill/>
      </c:spPr>
    </c:plotArea>
    <c:plotVisOnly val="1"/>
  </c:chart>
  <c:spPr>
    <a:ln>
      <a:noFill/>
    </a:ln>
  </c:spPr>
  <c:txPr>
    <a:bodyPr/>
    <a:lstStyle/>
    <a:p>
      <a:pPr>
        <a:defRPr sz="900">
          <a:cs typeface="+mn-cs"/>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55508293234179062"/>
          <c:y val="4.4057723831452685E-2"/>
          <c:w val="0.41944262175561464"/>
          <c:h val="0.78463593260520181"/>
        </c:manualLayout>
      </c:layout>
      <c:barChart>
        <c:barDir val="bar"/>
        <c:grouping val="clustered"/>
        <c:ser>
          <c:idx val="0"/>
          <c:order val="0"/>
          <c:tx>
            <c:strRef>
              <c:f>Sheet1!$B$1</c:f>
              <c:strCache>
                <c:ptCount val="1"/>
                <c:pt idx="0">
                  <c:v>Both Sexs</c:v>
                </c:pt>
              </c:strCache>
            </c:strRef>
          </c:tx>
          <c:spPr>
            <a:solidFill>
              <a:schemeClr val="tx2">
                <a:lumMod val="40000"/>
                <a:lumOff val="60000"/>
              </a:schemeClr>
            </a:solidFill>
          </c:spPr>
          <c:dLbls>
            <c:showVal val="1"/>
          </c:dLbls>
          <c:cat>
            <c:strRef>
              <c:f>Sheet1!$A$2:$A$4</c:f>
              <c:strCache>
                <c:ptCount val="3"/>
                <c:pt idx="0">
                  <c:v>The courts are well adapted to meet the needs of persons with disabilities</c:v>
                </c:pt>
                <c:pt idx="1">
                  <c:v>The infrastructure of the courts is decent (rooms, equipment, ....)</c:v>
                </c:pt>
                <c:pt idx="2">
                  <c:v>Number of court clerks is adequate</c:v>
                </c:pt>
              </c:strCache>
            </c:strRef>
          </c:cat>
          <c:val>
            <c:numRef>
              <c:f>Sheet1!$B$2:$B$4</c:f>
              <c:numCache>
                <c:formatCode>\ \ 0.0</c:formatCode>
                <c:ptCount val="3"/>
                <c:pt idx="0">
                  <c:v>41</c:v>
                </c:pt>
                <c:pt idx="1">
                  <c:v>31</c:v>
                </c:pt>
                <c:pt idx="2">
                  <c:v>27.9</c:v>
                </c:pt>
              </c:numCache>
            </c:numRef>
          </c:val>
        </c:ser>
        <c:ser>
          <c:idx val="1"/>
          <c:order val="1"/>
          <c:tx>
            <c:strRef>
              <c:f>Sheet1!$C$1</c:f>
              <c:strCache>
                <c:ptCount val="1"/>
                <c:pt idx="0">
                  <c:v>Male</c:v>
                </c:pt>
              </c:strCache>
            </c:strRef>
          </c:tx>
          <c:dLbls>
            <c:showVal val="1"/>
          </c:dLbls>
          <c:cat>
            <c:strRef>
              <c:f>Sheet1!$A$2:$A$4</c:f>
              <c:strCache>
                <c:ptCount val="3"/>
                <c:pt idx="0">
                  <c:v>The courts are well adapted to meet the needs of persons with disabilities</c:v>
                </c:pt>
                <c:pt idx="1">
                  <c:v>The infrastructure of the courts is decent (rooms, equipment, ....)</c:v>
                </c:pt>
                <c:pt idx="2">
                  <c:v>Number of court clerks is adequate</c:v>
                </c:pt>
              </c:strCache>
            </c:strRef>
          </c:cat>
          <c:val>
            <c:numRef>
              <c:f>Sheet1!$C$2:$C$4</c:f>
              <c:numCache>
                <c:formatCode>\ \ 0.0</c:formatCode>
                <c:ptCount val="3"/>
                <c:pt idx="0">
                  <c:v>41</c:v>
                </c:pt>
                <c:pt idx="1">
                  <c:v>32.5</c:v>
                </c:pt>
                <c:pt idx="2">
                  <c:v>30</c:v>
                </c:pt>
              </c:numCache>
            </c:numRef>
          </c:val>
        </c:ser>
        <c:ser>
          <c:idx val="2"/>
          <c:order val="2"/>
          <c:tx>
            <c:strRef>
              <c:f>Sheet1!$D$1</c:f>
              <c:strCache>
                <c:ptCount val="1"/>
                <c:pt idx="0">
                  <c:v>Female</c:v>
                </c:pt>
              </c:strCache>
            </c:strRef>
          </c:tx>
          <c:dLbls>
            <c:showVal val="1"/>
          </c:dLbls>
          <c:cat>
            <c:strRef>
              <c:f>Sheet1!$A$2:$A$4</c:f>
              <c:strCache>
                <c:ptCount val="3"/>
                <c:pt idx="0">
                  <c:v>The courts are well adapted to meet the needs of persons with disabilities</c:v>
                </c:pt>
                <c:pt idx="1">
                  <c:v>The infrastructure of the courts is decent (rooms, equipment, ....)</c:v>
                </c:pt>
                <c:pt idx="2">
                  <c:v>Number of court clerks is adequate</c:v>
                </c:pt>
              </c:strCache>
            </c:strRef>
          </c:cat>
          <c:val>
            <c:numRef>
              <c:f>Sheet1!$D$2:$D$4</c:f>
              <c:numCache>
                <c:formatCode>\ \ 0.0</c:formatCode>
                <c:ptCount val="3"/>
                <c:pt idx="0">
                  <c:v>41.300000000000004</c:v>
                </c:pt>
                <c:pt idx="1">
                  <c:v>26.1</c:v>
                </c:pt>
                <c:pt idx="2">
                  <c:v>21.3</c:v>
                </c:pt>
              </c:numCache>
            </c:numRef>
          </c:val>
        </c:ser>
        <c:axId val="54269824"/>
        <c:axId val="54284288"/>
      </c:barChart>
      <c:catAx>
        <c:axId val="54269824"/>
        <c:scaling>
          <c:orientation val="minMax"/>
        </c:scaling>
        <c:axPos val="l"/>
        <c:title>
          <c:tx>
            <c:rich>
              <a:bodyPr/>
              <a:lstStyle/>
              <a:p>
                <a:pPr>
                  <a:defRPr/>
                </a:pPr>
                <a:r>
                  <a:rPr lang="en-US"/>
                  <a:t>The General Status of the Courts in Palestine</a:t>
                </a:r>
              </a:p>
            </c:rich>
          </c:tx>
          <c:layout>
            <c:manualLayout>
              <c:xMode val="edge"/>
              <c:yMode val="edge"/>
              <c:x val="1.2947105570137112E-2"/>
              <c:y val="3.2394705174488565E-2"/>
            </c:manualLayout>
          </c:layout>
        </c:title>
        <c:tickLblPos val="nextTo"/>
        <c:crossAx val="54284288"/>
        <c:crosses val="autoZero"/>
        <c:auto val="1"/>
        <c:lblAlgn val="ctr"/>
        <c:lblOffset val="100"/>
      </c:catAx>
      <c:valAx>
        <c:axId val="54284288"/>
        <c:scaling>
          <c:orientation val="minMax"/>
        </c:scaling>
        <c:axPos val="b"/>
        <c:title>
          <c:tx>
            <c:rich>
              <a:bodyPr/>
              <a:lstStyle/>
              <a:p>
                <a:pPr>
                  <a:defRPr/>
                </a:pPr>
                <a:r>
                  <a:rPr lang="en-US"/>
                  <a:t>Percentage</a:t>
                </a:r>
              </a:p>
            </c:rich>
          </c:tx>
          <c:layout>
            <c:manualLayout>
              <c:xMode val="edge"/>
              <c:yMode val="edge"/>
              <c:x val="0.59336960484105883"/>
              <c:y val="0.92628693590720168"/>
            </c:manualLayout>
          </c:layout>
        </c:title>
        <c:numFmt formatCode="#,##0" sourceLinked="0"/>
        <c:tickLblPos val="nextTo"/>
        <c:crossAx val="54269824"/>
        <c:crosses val="autoZero"/>
        <c:crossBetween val="between"/>
      </c:valAx>
    </c:plotArea>
    <c:legend>
      <c:legendPos val="r"/>
      <c:layout>
        <c:manualLayout>
          <c:xMode val="edge"/>
          <c:yMode val="edge"/>
          <c:x val="0.85046423884514433"/>
          <c:y val="3.5220633521892794E-2"/>
          <c:w val="0.12979184893554968"/>
          <c:h val="0.25725044450088874"/>
        </c:manualLayout>
      </c:layout>
      <c:spPr>
        <a:ln>
          <a:solidFill>
            <a:sysClr val="windowText" lastClr="000000"/>
          </a:solidFill>
        </a:ln>
      </c:spPr>
    </c:legend>
    <c:plotVisOnly val="1"/>
  </c:chart>
  <c:spPr>
    <a:ln>
      <a:noFill/>
    </a:ln>
  </c:spPr>
  <c:txPr>
    <a:bodyPr/>
    <a:lstStyle/>
    <a:p>
      <a:pPr>
        <a:defRPr sz="900" baseline="0">
          <a:solidFill>
            <a:sysClr val="windowText" lastClr="000000"/>
          </a:solidFill>
          <a:latin typeface="Arial" pitchFamily="34" charset="0"/>
          <a:cs typeface="Arial" pitchFamily="34" charset="0"/>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730515456401322"/>
          <c:y val="4.4057617797775513E-2"/>
          <c:w val="0.84269612131816862"/>
          <c:h val="0.73411429916723436"/>
        </c:manualLayout>
      </c:layout>
      <c:barChart>
        <c:barDir val="col"/>
        <c:grouping val="clustered"/>
        <c:ser>
          <c:idx val="0"/>
          <c:order val="0"/>
          <c:tx>
            <c:strRef>
              <c:f>Sheet1!$B$1</c:f>
              <c:strCache>
                <c:ptCount val="1"/>
                <c:pt idx="0">
                  <c:v>Both Sexes</c:v>
                </c:pt>
              </c:strCache>
            </c:strRef>
          </c:tx>
          <c:spPr>
            <a:solidFill>
              <a:schemeClr val="tx2">
                <a:lumMod val="40000"/>
                <a:lumOff val="60000"/>
              </a:schemeClr>
            </a:solidFill>
          </c:spPr>
          <c:dLbls>
            <c:txPr>
              <a:bodyPr/>
              <a:lstStyle/>
              <a:p>
                <a:pPr>
                  <a:defRPr sz="900">
                    <a:latin typeface="Arial" pitchFamily="34" charset="0"/>
                    <a:cs typeface="Arial" pitchFamily="34" charset="0"/>
                  </a:defRPr>
                </a:pPr>
                <a:endParaRPr lang="ar-SA"/>
              </a:p>
            </c:txPr>
            <c:showVal val="1"/>
          </c:dLbls>
          <c:cat>
            <c:strRef>
              <c:f>Sheet1!$A$2:$A$4</c:f>
              <c:strCache>
                <c:ptCount val="3"/>
                <c:pt idx="0">
                  <c:v>Law faculties should limit the number of students</c:v>
                </c:pt>
                <c:pt idx="1">
                  <c:v>Strengthening the Bar exam</c:v>
                </c:pt>
                <c:pt idx="2">
                  <c:v>Developing entry exam for trainees</c:v>
                </c:pt>
              </c:strCache>
            </c:strRef>
          </c:cat>
          <c:val>
            <c:numRef>
              <c:f>Sheet1!$B$2:$B$4</c:f>
              <c:numCache>
                <c:formatCode>\ \ 0.0</c:formatCode>
                <c:ptCount val="3"/>
                <c:pt idx="0">
                  <c:v>92.300000000000011</c:v>
                </c:pt>
                <c:pt idx="1">
                  <c:v>77.8</c:v>
                </c:pt>
                <c:pt idx="2">
                  <c:v>76.3</c:v>
                </c:pt>
              </c:numCache>
            </c:numRef>
          </c:val>
        </c:ser>
        <c:ser>
          <c:idx val="1"/>
          <c:order val="1"/>
          <c:tx>
            <c:strRef>
              <c:f>Sheet1!$C$1</c:f>
              <c:strCache>
                <c:ptCount val="1"/>
                <c:pt idx="0">
                  <c:v>Male</c:v>
                </c:pt>
              </c:strCache>
            </c:strRef>
          </c:tx>
          <c:dLbls>
            <c:txPr>
              <a:bodyPr/>
              <a:lstStyle/>
              <a:p>
                <a:pPr>
                  <a:defRPr sz="900">
                    <a:latin typeface="Arial" pitchFamily="34" charset="0"/>
                    <a:cs typeface="Arial" pitchFamily="34" charset="0"/>
                  </a:defRPr>
                </a:pPr>
                <a:endParaRPr lang="ar-SA"/>
              </a:p>
            </c:txPr>
            <c:showVal val="1"/>
          </c:dLbls>
          <c:cat>
            <c:strRef>
              <c:f>Sheet1!$A$2:$A$4</c:f>
              <c:strCache>
                <c:ptCount val="3"/>
                <c:pt idx="0">
                  <c:v>Law faculties should limit the number of students</c:v>
                </c:pt>
                <c:pt idx="1">
                  <c:v>Strengthening the Bar exam</c:v>
                </c:pt>
                <c:pt idx="2">
                  <c:v>Developing entry exam for trainees</c:v>
                </c:pt>
              </c:strCache>
            </c:strRef>
          </c:cat>
          <c:val>
            <c:numRef>
              <c:f>Sheet1!$C$2:$C$4</c:f>
              <c:numCache>
                <c:formatCode>\ \ 0.0</c:formatCode>
                <c:ptCount val="3"/>
                <c:pt idx="0">
                  <c:v>92.5</c:v>
                </c:pt>
                <c:pt idx="1">
                  <c:v>78.2</c:v>
                </c:pt>
                <c:pt idx="2">
                  <c:v>76.8</c:v>
                </c:pt>
              </c:numCache>
            </c:numRef>
          </c:val>
        </c:ser>
        <c:ser>
          <c:idx val="2"/>
          <c:order val="2"/>
          <c:tx>
            <c:strRef>
              <c:f>Sheet1!$D$1</c:f>
              <c:strCache>
                <c:ptCount val="1"/>
                <c:pt idx="0">
                  <c:v>Female</c:v>
                </c:pt>
              </c:strCache>
            </c:strRef>
          </c:tx>
          <c:dLbls>
            <c:txPr>
              <a:bodyPr/>
              <a:lstStyle/>
              <a:p>
                <a:pPr>
                  <a:defRPr sz="900">
                    <a:latin typeface="Arial" pitchFamily="34" charset="0"/>
                    <a:cs typeface="Arial" pitchFamily="34" charset="0"/>
                  </a:defRPr>
                </a:pPr>
                <a:endParaRPr lang="ar-SA"/>
              </a:p>
            </c:txPr>
            <c:showVal val="1"/>
          </c:dLbls>
          <c:cat>
            <c:strRef>
              <c:f>Sheet1!$A$2:$A$4</c:f>
              <c:strCache>
                <c:ptCount val="3"/>
                <c:pt idx="0">
                  <c:v>Law faculties should limit the number of students</c:v>
                </c:pt>
                <c:pt idx="1">
                  <c:v>Strengthening the Bar exam</c:v>
                </c:pt>
                <c:pt idx="2">
                  <c:v>Developing entry exam for trainees</c:v>
                </c:pt>
              </c:strCache>
            </c:strRef>
          </c:cat>
          <c:val>
            <c:numRef>
              <c:f>Sheet1!$D$2:$D$4</c:f>
              <c:numCache>
                <c:formatCode>\ \ 0.0</c:formatCode>
                <c:ptCount val="3"/>
                <c:pt idx="0">
                  <c:v>90.9</c:v>
                </c:pt>
                <c:pt idx="1">
                  <c:v>75.899999999999991</c:v>
                </c:pt>
                <c:pt idx="2">
                  <c:v>74.2</c:v>
                </c:pt>
              </c:numCache>
            </c:numRef>
          </c:val>
        </c:ser>
        <c:axId val="54368512"/>
        <c:axId val="54378880"/>
      </c:barChart>
      <c:catAx>
        <c:axId val="54368512"/>
        <c:scaling>
          <c:orientation val="minMax"/>
        </c:scaling>
        <c:axPos val="b"/>
        <c:title>
          <c:tx>
            <c:rich>
              <a:bodyPr/>
              <a:lstStyle/>
              <a:p>
                <a:pPr>
                  <a:defRPr sz="900" baseline="0">
                    <a:latin typeface="Arial" pitchFamily="34" charset="0"/>
                  </a:defRPr>
                </a:pPr>
                <a:r>
                  <a:rPr lang="en-US" sz="900" baseline="0">
                    <a:latin typeface="Arial" pitchFamily="34" charset="0"/>
                  </a:rPr>
                  <a:t>Solution</a:t>
                </a:r>
              </a:p>
            </c:rich>
          </c:tx>
          <c:layout/>
        </c:title>
        <c:tickLblPos val="nextTo"/>
        <c:txPr>
          <a:bodyPr/>
          <a:lstStyle/>
          <a:p>
            <a:pPr>
              <a:defRPr sz="900" baseline="0">
                <a:latin typeface="Arial" pitchFamily="34" charset="0"/>
                <a:cs typeface="Arial" pitchFamily="34" charset="0"/>
              </a:defRPr>
            </a:pPr>
            <a:endParaRPr lang="ar-SA"/>
          </a:p>
        </c:txPr>
        <c:crossAx val="54378880"/>
        <c:crosses val="autoZero"/>
        <c:auto val="1"/>
        <c:lblAlgn val="ctr"/>
        <c:lblOffset val="100"/>
      </c:catAx>
      <c:valAx>
        <c:axId val="54378880"/>
        <c:scaling>
          <c:orientation val="minMax"/>
        </c:scaling>
        <c:axPos val="l"/>
        <c:title>
          <c:tx>
            <c:rich>
              <a:bodyPr rot="-5400000" vert="horz"/>
              <a:lstStyle/>
              <a:p>
                <a:pPr>
                  <a:defRPr sz="900" baseline="0">
                    <a:latin typeface="Arial" pitchFamily="34" charset="0"/>
                  </a:defRPr>
                </a:pPr>
                <a:r>
                  <a:rPr lang="en-US" sz="900" baseline="0">
                    <a:latin typeface="Arial" pitchFamily="34" charset="0"/>
                  </a:rPr>
                  <a:t>Percentage</a:t>
                </a:r>
              </a:p>
            </c:rich>
          </c:tx>
          <c:layout/>
        </c:title>
        <c:numFmt formatCode="#,##0" sourceLinked="0"/>
        <c:tickLblPos val="nextTo"/>
        <c:txPr>
          <a:bodyPr/>
          <a:lstStyle/>
          <a:p>
            <a:pPr>
              <a:defRPr sz="900" baseline="0">
                <a:latin typeface="Arial" pitchFamily="34" charset="0"/>
              </a:defRPr>
            </a:pPr>
            <a:endParaRPr lang="ar-SA"/>
          </a:p>
        </c:txPr>
        <c:crossAx val="54368512"/>
        <c:crosses val="autoZero"/>
        <c:crossBetween val="between"/>
        <c:majorUnit val="10"/>
      </c:valAx>
    </c:plotArea>
    <c:legend>
      <c:legendPos val="r"/>
      <c:layout>
        <c:manualLayout>
          <c:xMode val="edge"/>
          <c:yMode val="edge"/>
          <c:x val="0.63005899348146865"/>
          <c:y val="1.9347581552306176E-2"/>
          <c:w val="0.36068163427388689"/>
          <c:h val="8.432039745031869E-2"/>
        </c:manualLayout>
      </c:layout>
      <c:spPr>
        <a:ln>
          <a:solidFill>
            <a:schemeClr val="tx1"/>
          </a:solidFill>
        </a:ln>
      </c:spPr>
      <c:txPr>
        <a:bodyPr/>
        <a:lstStyle/>
        <a:p>
          <a:pPr>
            <a:defRPr sz="900" baseline="0">
              <a:latin typeface="Arial" pitchFamily="34" charset="0"/>
              <a:cs typeface="Arial" pitchFamily="34" charset="0"/>
            </a:defRPr>
          </a:pPr>
          <a:endParaRPr lang="ar-SA"/>
        </a:p>
      </c:txPr>
    </c:legend>
    <c:plotVisOnly val="1"/>
  </c:chart>
  <c:spPr>
    <a:ln>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49414610086490973"/>
          <c:y val="4.3650793650793704E-2"/>
          <c:w val="0.46456375838926284"/>
          <c:h val="0.7486981041867935"/>
        </c:manualLayout>
      </c:layout>
      <c:barChart>
        <c:barDir val="bar"/>
        <c:grouping val="clustered"/>
        <c:ser>
          <c:idx val="0"/>
          <c:order val="0"/>
          <c:tx>
            <c:strRef>
              <c:f>Sheet1!$B$1</c:f>
              <c:strCache>
                <c:ptCount val="1"/>
                <c:pt idx="0">
                  <c:v>Both Sexes</c:v>
                </c:pt>
              </c:strCache>
            </c:strRef>
          </c:tx>
          <c:spPr>
            <a:solidFill>
              <a:schemeClr val="tx2">
                <a:lumMod val="40000"/>
                <a:lumOff val="60000"/>
              </a:schemeClr>
            </a:solidFill>
          </c:spPr>
          <c:dLbls>
            <c:dLbl>
              <c:idx val="2"/>
              <c:layout>
                <c:manualLayout>
                  <c:x val="-1.1187712192139708E-2"/>
                  <c:y val="1.0933807418631383E-2"/>
                </c:manualLayout>
              </c:layout>
              <c:showVal val="1"/>
            </c:dLbl>
            <c:dLbl>
              <c:idx val="3"/>
              <c:layout>
                <c:manualLayout>
                  <c:x val="-1.1187712192139708E-2"/>
                  <c:y val="5.4669037093156934E-3"/>
                </c:manualLayout>
              </c:layout>
              <c:showVal val="1"/>
            </c:dLbl>
            <c:txPr>
              <a:bodyPr/>
              <a:lstStyle/>
              <a:p>
                <a:pPr>
                  <a:defRPr>
                    <a:latin typeface="Arial" pitchFamily="34" charset="0"/>
                    <a:cs typeface="Arial" pitchFamily="34" charset="0"/>
                  </a:defRPr>
                </a:pPr>
                <a:endParaRPr lang="ar-SA"/>
              </a:p>
            </c:txPr>
            <c:showVal val="1"/>
          </c:dLbls>
          <c:cat>
            <c:strRef>
              <c:f>Sheet1!$A$2:$A$5</c:f>
              <c:strCache>
                <c:ptCount val="4"/>
                <c:pt idx="0">
                  <c:v>The Bar Association is improving the ethics and conduct of the profession</c:v>
                </c:pt>
                <c:pt idx="1">
                  <c:v>The Bar Association adequately follows up on complaints against lawyers</c:v>
                </c:pt>
                <c:pt idx="2">
                  <c:v>The Bar Association plays a prominent role in Palestinian political life</c:v>
                </c:pt>
                <c:pt idx="3">
                  <c:v>General assembly of Bar Association is weak</c:v>
                </c:pt>
              </c:strCache>
            </c:strRef>
          </c:cat>
          <c:val>
            <c:numRef>
              <c:f>Sheet1!$B$2:$B$5</c:f>
              <c:numCache>
                <c:formatCode>\ \ 0.0</c:formatCode>
                <c:ptCount val="4"/>
                <c:pt idx="0">
                  <c:v>77.7</c:v>
                </c:pt>
                <c:pt idx="1">
                  <c:v>76</c:v>
                </c:pt>
                <c:pt idx="2">
                  <c:v>51.4</c:v>
                </c:pt>
                <c:pt idx="3">
                  <c:v>42.6</c:v>
                </c:pt>
              </c:numCache>
            </c:numRef>
          </c:val>
        </c:ser>
        <c:ser>
          <c:idx val="1"/>
          <c:order val="1"/>
          <c:tx>
            <c:strRef>
              <c:f>Sheet1!$C$1</c:f>
              <c:strCache>
                <c:ptCount val="1"/>
                <c:pt idx="0">
                  <c:v>Male</c:v>
                </c:pt>
              </c:strCache>
            </c:strRef>
          </c:tx>
          <c:dLbls>
            <c:dLbl>
              <c:idx val="3"/>
              <c:layout>
                <c:manualLayout>
                  <c:x val="-1.1187712192139708E-2"/>
                  <c:y val="0"/>
                </c:manualLayout>
              </c:layout>
              <c:showVal val="1"/>
            </c:dLbl>
            <c:txPr>
              <a:bodyPr/>
              <a:lstStyle/>
              <a:p>
                <a:pPr>
                  <a:defRPr>
                    <a:latin typeface="Arial" pitchFamily="34" charset="0"/>
                    <a:cs typeface="Arial" pitchFamily="34" charset="0"/>
                  </a:defRPr>
                </a:pPr>
                <a:endParaRPr lang="ar-SA"/>
              </a:p>
            </c:txPr>
            <c:showVal val="1"/>
          </c:dLbls>
          <c:cat>
            <c:strRef>
              <c:f>Sheet1!$A$2:$A$5</c:f>
              <c:strCache>
                <c:ptCount val="4"/>
                <c:pt idx="0">
                  <c:v>The Bar Association is improving the ethics and conduct of the profession</c:v>
                </c:pt>
                <c:pt idx="1">
                  <c:v>The Bar Association adequately follows up on complaints against lawyers</c:v>
                </c:pt>
                <c:pt idx="2">
                  <c:v>The Bar Association plays a prominent role in Palestinian political life</c:v>
                </c:pt>
                <c:pt idx="3">
                  <c:v>General assembly of Bar Association is weak</c:v>
                </c:pt>
              </c:strCache>
            </c:strRef>
          </c:cat>
          <c:val>
            <c:numRef>
              <c:f>Sheet1!$C$2:$C$5</c:f>
              <c:numCache>
                <c:formatCode>\ \ 0.0</c:formatCode>
                <c:ptCount val="4"/>
                <c:pt idx="0">
                  <c:v>76.7</c:v>
                </c:pt>
                <c:pt idx="1">
                  <c:v>74.099999999999994</c:v>
                </c:pt>
                <c:pt idx="2">
                  <c:v>49.70000000000001</c:v>
                </c:pt>
                <c:pt idx="3">
                  <c:v>44.5</c:v>
                </c:pt>
              </c:numCache>
            </c:numRef>
          </c:val>
        </c:ser>
        <c:ser>
          <c:idx val="2"/>
          <c:order val="2"/>
          <c:tx>
            <c:strRef>
              <c:f>Sheet1!$D$1</c:f>
              <c:strCache>
                <c:ptCount val="1"/>
                <c:pt idx="0">
                  <c:v>Female</c:v>
                </c:pt>
              </c:strCache>
            </c:strRef>
          </c:tx>
          <c:dLbls>
            <c:dLbl>
              <c:idx val="0"/>
              <c:layout>
                <c:manualLayout>
                  <c:x val="-1.342525463056767E-2"/>
                  <c:y val="-5.4669037093156934E-3"/>
                </c:manualLayout>
              </c:layout>
              <c:showVal val="1"/>
            </c:dLbl>
            <c:dLbl>
              <c:idx val="1"/>
              <c:layout>
                <c:manualLayout>
                  <c:x val="-1.56627970689956E-2"/>
                  <c:y val="-5.4669037093156934E-3"/>
                </c:manualLayout>
              </c:layout>
              <c:showVal val="1"/>
            </c:dLbl>
            <c:dLbl>
              <c:idx val="2"/>
              <c:layout>
                <c:manualLayout>
                  <c:x val="-1.1187712192139708E-2"/>
                  <c:y val="-5.4669037093156934E-3"/>
                </c:manualLayout>
              </c:layout>
              <c:showVal val="1"/>
            </c:dLbl>
            <c:dLbl>
              <c:idx val="3"/>
              <c:layout>
                <c:manualLayout>
                  <c:x val="-1.5662797068995513E-2"/>
                  <c:y val="-5.466903709315689E-3"/>
                </c:manualLayout>
              </c:layout>
              <c:showVal val="1"/>
            </c:dLbl>
            <c:txPr>
              <a:bodyPr/>
              <a:lstStyle/>
              <a:p>
                <a:pPr>
                  <a:defRPr>
                    <a:latin typeface="Arial" pitchFamily="34" charset="0"/>
                    <a:cs typeface="Arial" pitchFamily="34" charset="0"/>
                  </a:defRPr>
                </a:pPr>
                <a:endParaRPr lang="ar-SA"/>
              </a:p>
            </c:txPr>
            <c:showVal val="1"/>
          </c:dLbls>
          <c:cat>
            <c:strRef>
              <c:f>Sheet1!$A$2:$A$5</c:f>
              <c:strCache>
                <c:ptCount val="4"/>
                <c:pt idx="0">
                  <c:v>The Bar Association is improving the ethics and conduct of the profession</c:v>
                </c:pt>
                <c:pt idx="1">
                  <c:v>The Bar Association adequately follows up on complaints against lawyers</c:v>
                </c:pt>
                <c:pt idx="2">
                  <c:v>The Bar Association plays a prominent role in Palestinian political life</c:v>
                </c:pt>
                <c:pt idx="3">
                  <c:v>General assembly of Bar Association is weak</c:v>
                </c:pt>
              </c:strCache>
            </c:strRef>
          </c:cat>
          <c:val>
            <c:numRef>
              <c:f>Sheet1!$D$2:$D$5</c:f>
              <c:numCache>
                <c:formatCode>\ \ 0.0</c:formatCode>
                <c:ptCount val="4"/>
                <c:pt idx="0">
                  <c:v>82</c:v>
                </c:pt>
                <c:pt idx="1">
                  <c:v>84.1</c:v>
                </c:pt>
                <c:pt idx="2">
                  <c:v>58.5</c:v>
                </c:pt>
                <c:pt idx="3">
                  <c:v>33.9</c:v>
                </c:pt>
              </c:numCache>
            </c:numRef>
          </c:val>
        </c:ser>
        <c:axId val="54435200"/>
        <c:axId val="54478336"/>
      </c:barChart>
      <c:catAx>
        <c:axId val="54435200"/>
        <c:scaling>
          <c:orientation val="minMax"/>
        </c:scaling>
        <c:axPos val="l"/>
        <c:title>
          <c:tx>
            <c:rich>
              <a:bodyPr/>
              <a:lstStyle/>
              <a:p>
                <a:pPr>
                  <a:defRPr/>
                </a:pPr>
                <a:r>
                  <a:rPr lang="en-US"/>
                  <a:t>Role of the Palestinian Bar Association</a:t>
                </a:r>
              </a:p>
            </c:rich>
          </c:tx>
          <c:layout>
            <c:manualLayout>
              <c:xMode val="edge"/>
              <c:yMode val="edge"/>
              <c:x val="1.3304796631964661E-3"/>
              <c:y val="0.19194567221848197"/>
            </c:manualLayout>
          </c:layout>
        </c:title>
        <c:tickLblPos val="nextTo"/>
        <c:txPr>
          <a:bodyPr/>
          <a:lstStyle/>
          <a:p>
            <a:pPr>
              <a:defRPr>
                <a:latin typeface="Arial" pitchFamily="34" charset="0"/>
                <a:cs typeface="Arial" pitchFamily="34" charset="0"/>
              </a:defRPr>
            </a:pPr>
            <a:endParaRPr lang="ar-SA"/>
          </a:p>
        </c:txPr>
        <c:crossAx val="54478336"/>
        <c:crosses val="autoZero"/>
        <c:auto val="1"/>
        <c:lblAlgn val="ctr"/>
        <c:lblOffset val="100"/>
      </c:catAx>
      <c:valAx>
        <c:axId val="54478336"/>
        <c:scaling>
          <c:orientation val="minMax"/>
        </c:scaling>
        <c:axPos val="b"/>
        <c:title>
          <c:tx>
            <c:rich>
              <a:bodyPr/>
              <a:lstStyle/>
              <a:p>
                <a:pPr>
                  <a:defRPr/>
                </a:pPr>
                <a:r>
                  <a:rPr lang="en-US"/>
                  <a:t>Percentage</a:t>
                </a:r>
              </a:p>
            </c:rich>
          </c:tx>
          <c:layout>
            <c:manualLayout>
              <c:xMode val="edge"/>
              <c:yMode val="edge"/>
              <c:x val="0.60279818210643321"/>
              <c:y val="0.89284430524251379"/>
            </c:manualLayout>
          </c:layout>
        </c:title>
        <c:numFmt formatCode="#,##0" sourceLinked="0"/>
        <c:tickLblPos val="nextTo"/>
        <c:crossAx val="54435200"/>
        <c:crosses val="autoZero"/>
        <c:crossBetween val="between"/>
      </c:valAx>
    </c:plotArea>
    <c:legend>
      <c:legendPos val="r"/>
      <c:layout>
        <c:manualLayout>
          <c:xMode val="edge"/>
          <c:yMode val="edge"/>
          <c:x val="0.84782257922457915"/>
          <c:y val="3.3034569563562918E-2"/>
          <c:w val="0.13663319769592591"/>
          <c:h val="0.23716769604542981"/>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baseline="0">
          <a:latin typeface="Arial" pitchFamily="34" charset="0"/>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3486484292556214"/>
          <c:y val="6.0937006433285708E-2"/>
          <c:w val="0.82848355295793963"/>
          <c:h val="0.7057909317299077"/>
        </c:manualLayout>
      </c:layout>
      <c:barChart>
        <c:barDir val="col"/>
        <c:grouping val="clustered"/>
        <c:ser>
          <c:idx val="0"/>
          <c:order val="0"/>
          <c:tx>
            <c:strRef>
              <c:f>Sheet1!$B$1</c:f>
              <c:strCache>
                <c:ptCount val="1"/>
                <c:pt idx="0">
                  <c:v>Law Academicians </c:v>
                </c:pt>
              </c:strCache>
            </c:strRef>
          </c:tx>
          <c:spPr>
            <a:solidFill>
              <a:schemeClr val="tx2">
                <a:lumMod val="40000"/>
                <a:lumOff val="60000"/>
              </a:schemeClr>
            </a:solidFill>
          </c:spPr>
          <c:dLbls>
            <c:showVal val="1"/>
          </c:dLbls>
          <c:cat>
            <c:strRef>
              <c:f>Sheet1!$A$2:$A$3</c:f>
              <c:strCache>
                <c:ptCount val="2"/>
                <c:pt idx="0">
                  <c:v>Teaching methods used in universities abroad are better than those applicable in Palestinian universities</c:v>
                </c:pt>
                <c:pt idx="1">
                  <c:v>Different methods of school education</c:v>
                </c:pt>
              </c:strCache>
            </c:strRef>
          </c:cat>
          <c:val>
            <c:numRef>
              <c:f>Sheet1!$B$2:$B$3</c:f>
              <c:numCache>
                <c:formatCode>\ \ 0.0</c:formatCode>
                <c:ptCount val="2"/>
                <c:pt idx="0">
                  <c:v>89.1</c:v>
                </c:pt>
                <c:pt idx="1">
                  <c:v>67.099999999999994</c:v>
                </c:pt>
              </c:numCache>
            </c:numRef>
          </c:val>
        </c:ser>
        <c:ser>
          <c:idx val="1"/>
          <c:order val="1"/>
          <c:tx>
            <c:strRef>
              <c:f>Sheet1!$C$1</c:f>
              <c:strCache>
                <c:ptCount val="1"/>
                <c:pt idx="0">
                  <c:v>Law Students</c:v>
                </c:pt>
              </c:strCache>
            </c:strRef>
          </c:tx>
          <c:dLbls>
            <c:showVal val="1"/>
          </c:dLbls>
          <c:cat>
            <c:strRef>
              <c:f>Sheet1!$A$2:$A$3</c:f>
              <c:strCache>
                <c:ptCount val="2"/>
                <c:pt idx="0">
                  <c:v>Teaching methods used in universities abroad are better than those applicable in Palestinian universities</c:v>
                </c:pt>
                <c:pt idx="1">
                  <c:v>Different methods of school education</c:v>
                </c:pt>
              </c:strCache>
            </c:strRef>
          </c:cat>
          <c:val>
            <c:numRef>
              <c:f>Sheet1!$C$2:$C$3</c:f>
              <c:numCache>
                <c:formatCode>\ \ 0.0</c:formatCode>
                <c:ptCount val="2"/>
                <c:pt idx="0">
                  <c:v>88.4</c:v>
                </c:pt>
                <c:pt idx="1">
                  <c:v>77.400000000000006</c:v>
                </c:pt>
              </c:numCache>
            </c:numRef>
          </c:val>
        </c:ser>
        <c:axId val="54508160"/>
        <c:axId val="54514432"/>
      </c:barChart>
      <c:catAx>
        <c:axId val="54508160"/>
        <c:scaling>
          <c:orientation val="minMax"/>
        </c:scaling>
        <c:axPos val="b"/>
        <c:title>
          <c:tx>
            <c:rich>
              <a:bodyPr/>
              <a:lstStyle/>
              <a:p>
                <a:pPr>
                  <a:defRPr/>
                </a:pPr>
                <a:r>
                  <a:rPr lang="en-US"/>
                  <a:t>Reason for Differences</a:t>
                </a:r>
              </a:p>
            </c:rich>
          </c:tx>
          <c:layout>
            <c:manualLayout>
              <c:xMode val="edge"/>
              <c:yMode val="edge"/>
              <c:x val="0.49579866036924297"/>
              <c:y val="0.92052559690975444"/>
            </c:manualLayout>
          </c:layout>
        </c:title>
        <c:tickLblPos val="nextTo"/>
        <c:crossAx val="54514432"/>
        <c:crosses val="autoZero"/>
        <c:auto val="1"/>
        <c:lblAlgn val="ctr"/>
        <c:lblOffset val="100"/>
      </c:catAx>
      <c:valAx>
        <c:axId val="54514432"/>
        <c:scaling>
          <c:orientation val="minMax"/>
        </c:scaling>
        <c:axPos val="l"/>
        <c:title>
          <c:tx>
            <c:rich>
              <a:bodyPr rot="-5400000" vert="horz"/>
              <a:lstStyle/>
              <a:p>
                <a:pPr>
                  <a:defRPr/>
                </a:pPr>
                <a:r>
                  <a:rPr lang="en-US"/>
                  <a:t>Percentage</a:t>
                </a:r>
              </a:p>
            </c:rich>
          </c:tx>
          <c:layout/>
        </c:title>
        <c:numFmt formatCode="#,##0" sourceLinked="0"/>
        <c:tickLblPos val="nextTo"/>
        <c:crossAx val="54508160"/>
        <c:crosses val="autoZero"/>
        <c:crossBetween val="between"/>
      </c:valAx>
    </c:plotArea>
    <c:legend>
      <c:legendPos val="r"/>
      <c:layout>
        <c:manualLayout>
          <c:xMode val="edge"/>
          <c:yMode val="edge"/>
          <c:x val="0.51234392093166126"/>
          <c:y val="1.9512248468941385E-2"/>
          <c:w val="0.47376735301624351"/>
          <c:h val="0.10021943436174638"/>
        </c:manualLayout>
      </c:layout>
      <c:spPr>
        <a:ln>
          <a:solidFill>
            <a:sysClr val="windowText" lastClr="000000"/>
          </a:solidFill>
        </a:ln>
      </c:spPr>
    </c:legend>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287037037037"/>
          <c:y val="4.3650793650793704E-2"/>
          <c:w val="0.86188648293963255"/>
          <c:h val="0.79100950616467303"/>
        </c:manualLayout>
      </c:layout>
      <c:barChart>
        <c:barDir val="col"/>
        <c:grouping val="clustered"/>
        <c:ser>
          <c:idx val="0"/>
          <c:order val="0"/>
          <c:tx>
            <c:strRef>
              <c:f>Sheet1!$B$1</c:f>
              <c:strCache>
                <c:ptCount val="1"/>
                <c:pt idx="0">
                  <c:v>Male</c:v>
                </c:pt>
              </c:strCache>
            </c:strRef>
          </c:tx>
          <c:spPr>
            <a:solidFill>
              <a:schemeClr val="tx2">
                <a:lumMod val="40000"/>
                <a:lumOff val="60000"/>
              </a:schemeClr>
            </a:solidFill>
          </c:spPr>
          <c:dLbls>
            <c:showVal val="1"/>
          </c:dLbls>
          <c:cat>
            <c:strRef>
              <c:f>Sheet1!$A$2:$A$4</c:f>
              <c:strCache>
                <c:ptCount val="3"/>
                <c:pt idx="0">
                  <c:v>Sharia courts</c:v>
                </c:pt>
                <c:pt idx="1">
                  <c:v>Tribal Justice</c:v>
                </c:pt>
                <c:pt idx="2">
                  <c:v>Regular Courts</c:v>
                </c:pt>
              </c:strCache>
            </c:strRef>
          </c:cat>
          <c:val>
            <c:numRef>
              <c:f>Sheet1!$B$2:$B$4</c:f>
              <c:numCache>
                <c:formatCode>\ \ 0.0</c:formatCode>
                <c:ptCount val="3"/>
                <c:pt idx="0">
                  <c:v>81.2</c:v>
                </c:pt>
                <c:pt idx="1">
                  <c:v>72.2</c:v>
                </c:pt>
                <c:pt idx="2">
                  <c:v>45</c:v>
                </c:pt>
              </c:numCache>
            </c:numRef>
          </c:val>
        </c:ser>
        <c:ser>
          <c:idx val="1"/>
          <c:order val="1"/>
          <c:tx>
            <c:strRef>
              <c:f>Sheet1!$C$1</c:f>
              <c:strCache>
                <c:ptCount val="1"/>
                <c:pt idx="0">
                  <c:v>Female</c:v>
                </c:pt>
              </c:strCache>
            </c:strRef>
          </c:tx>
          <c:spPr>
            <a:solidFill>
              <a:schemeClr val="accent2"/>
            </a:solidFill>
          </c:spPr>
          <c:dLbls>
            <c:showVal val="1"/>
          </c:dLbls>
          <c:cat>
            <c:strRef>
              <c:f>Sheet1!$A$2:$A$4</c:f>
              <c:strCache>
                <c:ptCount val="3"/>
                <c:pt idx="0">
                  <c:v>Sharia courts</c:v>
                </c:pt>
                <c:pt idx="1">
                  <c:v>Tribal Justice</c:v>
                </c:pt>
                <c:pt idx="2">
                  <c:v>Regular Courts</c:v>
                </c:pt>
              </c:strCache>
            </c:strRef>
          </c:cat>
          <c:val>
            <c:numRef>
              <c:f>Sheet1!$C$2:$C$4</c:f>
              <c:numCache>
                <c:formatCode>\ \ 0.0</c:formatCode>
                <c:ptCount val="3"/>
                <c:pt idx="0">
                  <c:v>83.6</c:v>
                </c:pt>
                <c:pt idx="1">
                  <c:v>75.2</c:v>
                </c:pt>
                <c:pt idx="2">
                  <c:v>71.2</c:v>
                </c:pt>
              </c:numCache>
            </c:numRef>
          </c:val>
        </c:ser>
        <c:axId val="53107712"/>
        <c:axId val="53134464"/>
      </c:barChart>
      <c:catAx>
        <c:axId val="53107712"/>
        <c:scaling>
          <c:orientation val="minMax"/>
        </c:scaling>
        <c:axPos val="b"/>
        <c:title>
          <c:tx>
            <c:rich>
              <a:bodyPr/>
              <a:lstStyle/>
              <a:p>
                <a:pPr>
                  <a:defRPr/>
                </a:pPr>
                <a:r>
                  <a:rPr lang="en-US"/>
                  <a:t>Palestinian Justice Sector</a:t>
                </a:r>
              </a:p>
            </c:rich>
          </c:tx>
          <c:layout/>
        </c:title>
        <c:tickLblPos val="nextTo"/>
        <c:crossAx val="53134464"/>
        <c:crosses val="autoZero"/>
        <c:auto val="1"/>
        <c:lblAlgn val="ctr"/>
        <c:lblOffset val="100"/>
      </c:catAx>
      <c:valAx>
        <c:axId val="53134464"/>
        <c:scaling>
          <c:orientation val="minMax"/>
        </c:scaling>
        <c:axPos val="l"/>
        <c:title>
          <c:tx>
            <c:rich>
              <a:bodyPr rot="-5400000" vert="horz"/>
              <a:lstStyle/>
              <a:p>
                <a:pPr>
                  <a:defRPr/>
                </a:pPr>
                <a:r>
                  <a:rPr lang="en-US"/>
                  <a:t>Percentage</a:t>
                </a:r>
              </a:p>
            </c:rich>
          </c:tx>
          <c:layout>
            <c:manualLayout>
              <c:xMode val="edge"/>
              <c:yMode val="edge"/>
              <c:x val="1.4988334791484401E-2"/>
              <c:y val="0.29202673195262563"/>
            </c:manualLayout>
          </c:layout>
        </c:title>
        <c:numFmt formatCode="#,##0" sourceLinked="0"/>
        <c:tickLblPos val="nextTo"/>
        <c:crossAx val="53107712"/>
        <c:crosses val="autoZero"/>
        <c:crossBetween val="between"/>
      </c:valAx>
    </c:plotArea>
    <c:legend>
      <c:legendPos val="r"/>
      <c:layout>
        <c:manualLayout>
          <c:xMode val="edge"/>
          <c:yMode val="edge"/>
          <c:x val="0.67865868328959444"/>
          <c:y val="2.0207657613515076E-2"/>
          <c:w val="0.30513761300670744"/>
          <c:h val="7.0632589274688323E-2"/>
        </c:manualLayout>
      </c:layout>
      <c:spPr>
        <a:ln>
          <a:solidFill>
            <a:sysClr val="windowText" lastClr="000000"/>
          </a:solidFill>
        </a:ln>
      </c:spPr>
    </c:legend>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069444444444526E-2"/>
          <c:y val="4.856512141280353E-2"/>
          <c:w val="0.87715277777777778"/>
          <c:h val="0.72336215170197826"/>
        </c:manualLayout>
      </c:layout>
      <c:barChart>
        <c:barDir val="col"/>
        <c:grouping val="clustered"/>
        <c:ser>
          <c:idx val="2"/>
          <c:order val="0"/>
          <c:tx>
            <c:strRef>
              <c:f>Sheet1!$I$26</c:f>
              <c:strCache>
                <c:ptCount val="1"/>
                <c:pt idx="0">
                  <c:v>راض</c:v>
                </c:pt>
              </c:strCache>
            </c:strRef>
          </c:tx>
          <c:dLbls>
            <c:dLbl>
              <c:idx val="5"/>
              <c:layout>
                <c:manualLayout>
                  <c:x val="-2.5462962962963492E-2"/>
                  <c:y val="0"/>
                </c:manualLayout>
              </c:layout>
              <c:showVal val="1"/>
            </c:dLbl>
            <c:dLbl>
              <c:idx val="6"/>
              <c:layout>
                <c:manualLayout>
                  <c:x val="-2.0833333333333412E-2"/>
                  <c:y val="0"/>
                </c:manualLayout>
              </c:layout>
              <c:showVal val="1"/>
            </c:dLbl>
            <c:showVal val="1"/>
          </c:dLbls>
          <c:cat>
            <c:strRef>
              <c:f>Sheet1!$F$27:$F$33</c:f>
              <c:strCache>
                <c:ptCount val="7"/>
                <c:pt idx="0">
                  <c:v>Ministry of Interior</c:v>
                </c:pt>
                <c:pt idx="1">
                  <c:v>Palestinian Civil Police</c:v>
                </c:pt>
                <c:pt idx="2">
                  <c:v>National Security</c:v>
                </c:pt>
                <c:pt idx="3">
                  <c:v>Preventive Security</c:v>
                </c:pt>
                <c:pt idx="4">
                  <c:v>Intelligence</c:v>
                </c:pt>
                <c:pt idx="5">
                  <c:v>Presidential Security</c:v>
                </c:pt>
                <c:pt idx="6">
                  <c:v>Military Intelligence</c:v>
                </c:pt>
              </c:strCache>
            </c:strRef>
          </c:cat>
          <c:val>
            <c:numRef>
              <c:f>Sheet1!$I$27:$I$33</c:f>
              <c:numCache>
                <c:formatCode>\ \ 0.0</c:formatCode>
                <c:ptCount val="7"/>
                <c:pt idx="0">
                  <c:v>57.3</c:v>
                </c:pt>
                <c:pt idx="1">
                  <c:v>56.9</c:v>
                </c:pt>
                <c:pt idx="2">
                  <c:v>48.70000000000001</c:v>
                </c:pt>
                <c:pt idx="3">
                  <c:v>42.5</c:v>
                </c:pt>
                <c:pt idx="4">
                  <c:v>41.800000000000004</c:v>
                </c:pt>
                <c:pt idx="5">
                  <c:v>39.70000000000001</c:v>
                </c:pt>
                <c:pt idx="6">
                  <c:v>38.1</c:v>
                </c:pt>
              </c:numCache>
            </c:numRef>
          </c:val>
        </c:ser>
        <c:axId val="53580160"/>
        <c:axId val="53582080"/>
      </c:barChart>
      <c:catAx>
        <c:axId val="53580160"/>
        <c:scaling>
          <c:orientation val="minMax"/>
        </c:scaling>
        <c:axPos val="b"/>
        <c:title>
          <c:tx>
            <c:rich>
              <a:bodyPr/>
              <a:lstStyle/>
              <a:p>
                <a:pPr>
                  <a:defRPr/>
                </a:pPr>
                <a:r>
                  <a:rPr lang="en-US"/>
                  <a:t>Palestinian</a:t>
                </a:r>
                <a:r>
                  <a:rPr lang="en-US" baseline="0"/>
                  <a:t> Security Institutions</a:t>
                </a:r>
                <a:endParaRPr lang="en-US"/>
              </a:p>
            </c:rich>
          </c:tx>
          <c:layout/>
        </c:title>
        <c:tickLblPos val="nextTo"/>
        <c:crossAx val="53582080"/>
        <c:crosses val="autoZero"/>
        <c:auto val="1"/>
        <c:lblAlgn val="ctr"/>
        <c:lblOffset val="100"/>
      </c:catAx>
      <c:valAx>
        <c:axId val="53582080"/>
        <c:scaling>
          <c:orientation val="minMax"/>
        </c:scaling>
        <c:axPos val="l"/>
        <c:title>
          <c:tx>
            <c:rich>
              <a:bodyPr rot="-5400000" vert="horz"/>
              <a:lstStyle/>
              <a:p>
                <a:pPr>
                  <a:defRPr/>
                </a:pPr>
                <a:r>
                  <a:rPr lang="en-US"/>
                  <a:t>Percentage</a:t>
                </a:r>
              </a:p>
            </c:rich>
          </c:tx>
          <c:layout/>
        </c:title>
        <c:numFmt formatCode="#,##0" sourceLinked="0"/>
        <c:tickLblPos val="nextTo"/>
        <c:crossAx val="53580160"/>
        <c:crosses val="autoZero"/>
        <c:crossBetween val="between"/>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7.0691363466152055E-2"/>
          <c:y val="4.8726467331119329E-2"/>
          <c:w val="0.92004823257706414"/>
          <c:h val="0.67602880446524583"/>
        </c:manualLayout>
      </c:layout>
      <c:barChart>
        <c:barDir val="col"/>
        <c:grouping val="clustered"/>
        <c:ser>
          <c:idx val="0"/>
          <c:order val="0"/>
          <c:tx>
            <c:strRef>
              <c:f>Sheet1!$B$1</c:f>
              <c:strCache>
                <c:ptCount val="1"/>
                <c:pt idx="0">
                  <c:v>Male</c:v>
                </c:pt>
              </c:strCache>
            </c:strRef>
          </c:tx>
          <c:spPr>
            <a:solidFill>
              <a:schemeClr val="tx2">
                <a:lumMod val="40000"/>
                <a:lumOff val="60000"/>
              </a:schemeClr>
            </a:solidFill>
          </c:spPr>
          <c:dLbls>
            <c:txPr>
              <a:bodyPr/>
              <a:lstStyle/>
              <a:p>
                <a:pPr>
                  <a:defRPr>
                    <a:latin typeface="Arial" pitchFamily="34" charset="0"/>
                    <a:cs typeface="Arial" pitchFamily="34" charset="0"/>
                  </a:defRPr>
                </a:pPr>
                <a:endParaRPr lang="ar-SA"/>
              </a:p>
            </c:txPr>
            <c:showVal val="1"/>
          </c:dLbls>
          <c:cat>
            <c:strRef>
              <c:f>Sheet1!$A$2:$A$7</c:f>
              <c:strCache>
                <c:ptCount val="6"/>
                <c:pt idx="0">
                  <c:v>Palestinian Civil Police</c:v>
                </c:pt>
                <c:pt idx="1">
                  <c:v>The Palestinian Security Forces </c:v>
                </c:pt>
                <c:pt idx="2">
                  <c:v>Judiciary</c:v>
                </c:pt>
                <c:pt idx="3">
                  <c:v>Public Prosecution</c:v>
                </c:pt>
                <c:pt idx="4">
                  <c:v>The Palestinian Bar Association </c:v>
                </c:pt>
                <c:pt idx="5">
                  <c:v> Ministry of Justice</c:v>
                </c:pt>
              </c:strCache>
            </c:strRef>
          </c:cat>
          <c:val>
            <c:numRef>
              <c:f>Sheet1!$B$2:$B$7</c:f>
              <c:numCache>
                <c:formatCode>General</c:formatCode>
                <c:ptCount val="6"/>
                <c:pt idx="0">
                  <c:v>52.5</c:v>
                </c:pt>
                <c:pt idx="1">
                  <c:v>41.3</c:v>
                </c:pt>
                <c:pt idx="2">
                  <c:v>36.1</c:v>
                </c:pt>
                <c:pt idx="3">
                  <c:v>36.700000000000003</c:v>
                </c:pt>
                <c:pt idx="4">
                  <c:v>32.1</c:v>
                </c:pt>
                <c:pt idx="5">
                  <c:v>27.900000000000002</c:v>
                </c:pt>
              </c:numCache>
            </c:numRef>
          </c:val>
        </c:ser>
        <c:ser>
          <c:idx val="1"/>
          <c:order val="1"/>
          <c:tx>
            <c:strRef>
              <c:f>Sheet1!$C$1</c:f>
              <c:strCache>
                <c:ptCount val="1"/>
                <c:pt idx="0">
                  <c:v>Female</c:v>
                </c:pt>
              </c:strCache>
            </c:strRef>
          </c:tx>
          <c:dLbls>
            <c:numFmt formatCode="#,##0.0" sourceLinked="0"/>
            <c:txPr>
              <a:bodyPr/>
              <a:lstStyle/>
              <a:p>
                <a:pPr>
                  <a:defRPr>
                    <a:latin typeface="Arial" pitchFamily="34" charset="0"/>
                    <a:cs typeface="Arial" pitchFamily="34" charset="0"/>
                  </a:defRPr>
                </a:pPr>
                <a:endParaRPr lang="ar-SA"/>
              </a:p>
            </c:txPr>
            <c:showVal val="1"/>
          </c:dLbls>
          <c:cat>
            <c:strRef>
              <c:f>Sheet1!$A$2:$A$7</c:f>
              <c:strCache>
                <c:ptCount val="6"/>
                <c:pt idx="0">
                  <c:v>Palestinian Civil Police</c:v>
                </c:pt>
                <c:pt idx="1">
                  <c:v>The Palestinian Security Forces </c:v>
                </c:pt>
                <c:pt idx="2">
                  <c:v>Judiciary</c:v>
                </c:pt>
                <c:pt idx="3">
                  <c:v>Public Prosecution</c:v>
                </c:pt>
                <c:pt idx="4">
                  <c:v>The Palestinian Bar Association </c:v>
                </c:pt>
                <c:pt idx="5">
                  <c:v> Ministry of Justice</c:v>
                </c:pt>
              </c:strCache>
            </c:strRef>
          </c:cat>
          <c:val>
            <c:numRef>
              <c:f>Sheet1!$C$2:$C$7</c:f>
              <c:numCache>
                <c:formatCode>General</c:formatCode>
                <c:ptCount val="6"/>
                <c:pt idx="0">
                  <c:v>30.099999999999987</c:v>
                </c:pt>
                <c:pt idx="1">
                  <c:v>18.7</c:v>
                </c:pt>
                <c:pt idx="2">
                  <c:v>20</c:v>
                </c:pt>
                <c:pt idx="3">
                  <c:v>17</c:v>
                </c:pt>
                <c:pt idx="4">
                  <c:v>16.8</c:v>
                </c:pt>
                <c:pt idx="5">
                  <c:v>14</c:v>
                </c:pt>
              </c:numCache>
            </c:numRef>
          </c:val>
        </c:ser>
        <c:axId val="53632000"/>
        <c:axId val="53642368"/>
      </c:barChart>
      <c:catAx>
        <c:axId val="53632000"/>
        <c:scaling>
          <c:orientation val="minMax"/>
        </c:scaling>
        <c:axPos val="b"/>
        <c:title>
          <c:tx>
            <c:rich>
              <a:bodyPr/>
              <a:lstStyle/>
              <a:p>
                <a:pPr>
                  <a:defRPr/>
                </a:pPr>
                <a:r>
                  <a:rPr lang="en-US"/>
                  <a:t>Palestinian Security</a:t>
                </a:r>
                <a:r>
                  <a:rPr lang="en-US" baseline="0"/>
                  <a:t> and Justice Institutions</a:t>
                </a:r>
                <a:endParaRPr lang="en-US"/>
              </a:p>
            </c:rich>
          </c:tx>
          <c:layout>
            <c:manualLayout>
              <c:xMode val="edge"/>
              <c:yMode val="edge"/>
              <c:x val="0.29998380590694679"/>
              <c:y val="0.88779374140457679"/>
            </c:manualLayout>
          </c:layout>
        </c:title>
        <c:tickLblPos val="nextTo"/>
        <c:txPr>
          <a:bodyPr/>
          <a:lstStyle/>
          <a:p>
            <a:pPr>
              <a:defRPr>
                <a:latin typeface="Arial" pitchFamily="34" charset="0"/>
                <a:cs typeface="Arial" pitchFamily="34" charset="0"/>
              </a:defRPr>
            </a:pPr>
            <a:endParaRPr lang="ar-SA"/>
          </a:p>
        </c:txPr>
        <c:crossAx val="53642368"/>
        <c:crosses val="autoZero"/>
        <c:auto val="1"/>
        <c:lblAlgn val="ctr"/>
        <c:lblOffset val="100"/>
      </c:catAx>
      <c:valAx>
        <c:axId val="53642368"/>
        <c:scaling>
          <c:orientation val="minMax"/>
        </c:scaling>
        <c:axPos val="l"/>
        <c:title>
          <c:tx>
            <c:rich>
              <a:bodyPr rot="-5400000" vert="horz"/>
              <a:lstStyle/>
              <a:p>
                <a:pPr>
                  <a:defRPr/>
                </a:pPr>
                <a:r>
                  <a:rPr lang="en-US"/>
                  <a:t>Percentage</a:t>
                </a:r>
              </a:p>
            </c:rich>
          </c:tx>
          <c:layout/>
        </c:title>
        <c:numFmt formatCode="General" sourceLinked="1"/>
        <c:tickLblPos val="nextTo"/>
        <c:crossAx val="53632000"/>
        <c:crosses val="autoZero"/>
        <c:crossBetween val="between"/>
      </c:valAx>
    </c:plotArea>
    <c:legend>
      <c:legendPos val="r"/>
      <c:layout>
        <c:manualLayout>
          <c:xMode val="edge"/>
          <c:yMode val="edge"/>
          <c:x val="0.63006438644937623"/>
          <c:y val="3.5385264341957261E-2"/>
          <c:w val="0.27502821671420274"/>
          <c:h val="8.3991376077991745E-2"/>
        </c:manualLayout>
      </c:layout>
      <c:spPr>
        <a:ln>
          <a:solidFill>
            <a:schemeClr val="tx1"/>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baseline="0">
          <a:latin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47310572475630874"/>
          <c:y val="7.5768694333438871E-2"/>
          <c:w val="0.49213793900080982"/>
          <c:h val="0.76636009539903405"/>
        </c:manualLayout>
      </c:layout>
      <c:barChart>
        <c:barDir val="bar"/>
        <c:grouping val="clustered"/>
        <c:ser>
          <c:idx val="0"/>
          <c:order val="0"/>
          <c:tx>
            <c:strRef>
              <c:f>Sheet1!$B$1</c:f>
              <c:strCache>
                <c:ptCount val="1"/>
                <c:pt idx="0">
                  <c:v>Column1</c:v>
                </c:pt>
              </c:strCache>
            </c:strRef>
          </c:tx>
          <c:dLbls>
            <c:txPr>
              <a:bodyPr/>
              <a:lstStyle/>
              <a:p>
                <a:pPr>
                  <a:defRPr sz="900">
                    <a:latin typeface="Arial" pitchFamily="34" charset="0"/>
                    <a:cs typeface="Arial" pitchFamily="34" charset="0"/>
                  </a:defRPr>
                </a:pPr>
                <a:endParaRPr lang="ar-SA"/>
              </a:p>
            </c:txPr>
            <c:showVal val="1"/>
          </c:dLbls>
          <c:cat>
            <c:strRef>
              <c:f>Sheet1!$A$2:$A$9</c:f>
              <c:strCache>
                <c:ptCount val="8"/>
                <c:pt idx="0">
                  <c:v>Palestinian police </c:v>
                </c:pt>
                <c:pt idx="1">
                  <c:v>Religious courts (Sharia’ and church courts)</c:v>
                </c:pt>
                <c:pt idx="2">
                  <c:v>Regular courts</c:v>
                </c:pt>
                <c:pt idx="3">
                  <c:v>Ministry of Interior</c:v>
                </c:pt>
                <c:pt idx="4">
                  <c:v>Palestinian security forces</c:v>
                </c:pt>
                <c:pt idx="5">
                  <c:v>Public prosecution </c:v>
                </c:pt>
                <c:pt idx="6">
                  <c:v>Ministry of Justice </c:v>
                </c:pt>
                <c:pt idx="7">
                  <c:v>Military courts</c:v>
                </c:pt>
              </c:strCache>
            </c:strRef>
          </c:cat>
          <c:val>
            <c:numRef>
              <c:f>Sheet1!$B$2:$B$9</c:f>
              <c:numCache>
                <c:formatCode>\ \ 0.0</c:formatCode>
                <c:ptCount val="8"/>
                <c:pt idx="0">
                  <c:v>49.5</c:v>
                </c:pt>
                <c:pt idx="1">
                  <c:v>44.8</c:v>
                </c:pt>
                <c:pt idx="2">
                  <c:v>38.700000000000003</c:v>
                </c:pt>
                <c:pt idx="3">
                  <c:v>35.6</c:v>
                </c:pt>
                <c:pt idx="4">
                  <c:v>29</c:v>
                </c:pt>
                <c:pt idx="5">
                  <c:v>27.400000000000002</c:v>
                </c:pt>
                <c:pt idx="6">
                  <c:v>21.8</c:v>
                </c:pt>
                <c:pt idx="7">
                  <c:v>17.100000000000001</c:v>
                </c:pt>
              </c:numCache>
            </c:numRef>
          </c:val>
        </c:ser>
        <c:axId val="53703808"/>
        <c:axId val="53705728"/>
      </c:barChart>
      <c:catAx>
        <c:axId val="53703808"/>
        <c:scaling>
          <c:orientation val="minMax"/>
        </c:scaling>
        <c:axPos val="l"/>
        <c:title>
          <c:tx>
            <c:rich>
              <a:bodyPr/>
              <a:lstStyle/>
              <a:p>
                <a:pPr>
                  <a:defRPr sz="900" baseline="0">
                    <a:latin typeface="Arial" pitchFamily="34" charset="0"/>
                  </a:defRPr>
                </a:pPr>
                <a:r>
                  <a:rPr lang="en-US" sz="900" baseline="0">
                    <a:latin typeface="Arial" pitchFamily="34" charset="0"/>
                  </a:rPr>
                  <a:t>Palestinian Security and Justice Institutions sectors</a:t>
                </a:r>
              </a:p>
            </c:rich>
          </c:tx>
          <c:layout>
            <c:manualLayout>
              <c:xMode val="edge"/>
              <c:yMode val="edge"/>
              <c:x val="3.9119691028840841E-4"/>
              <c:y val="0.11133607284762922"/>
            </c:manualLayout>
          </c:layout>
        </c:title>
        <c:tickLblPos val="nextTo"/>
        <c:txPr>
          <a:bodyPr/>
          <a:lstStyle/>
          <a:p>
            <a:pPr>
              <a:defRPr sz="900" baseline="0">
                <a:latin typeface="Arial" pitchFamily="34" charset="0"/>
                <a:cs typeface="Arial" pitchFamily="34" charset="0"/>
              </a:defRPr>
            </a:pPr>
            <a:endParaRPr lang="ar-SA"/>
          </a:p>
        </c:txPr>
        <c:crossAx val="53705728"/>
        <c:crosses val="autoZero"/>
        <c:auto val="1"/>
        <c:lblAlgn val="ctr"/>
        <c:lblOffset val="100"/>
      </c:catAx>
      <c:valAx>
        <c:axId val="5370572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Percentage</a:t>
                </a:r>
              </a:p>
            </c:rich>
          </c:tx>
          <c:layout>
            <c:manualLayout>
              <c:xMode val="edge"/>
              <c:yMode val="edge"/>
              <c:x val="0.53896249789204509"/>
              <c:y val="0.90351226644614557"/>
            </c:manualLayout>
          </c:layout>
        </c:title>
        <c:numFmt formatCode="#,##0" sourceLinked="0"/>
        <c:tickLblPos val="nextTo"/>
        <c:txPr>
          <a:bodyPr/>
          <a:lstStyle/>
          <a:p>
            <a:pPr>
              <a:defRPr sz="900" baseline="0">
                <a:latin typeface="Arial" pitchFamily="34" charset="0"/>
              </a:defRPr>
            </a:pPr>
            <a:endParaRPr lang="ar-SA"/>
          </a:p>
        </c:txPr>
        <c:crossAx val="53703808"/>
        <c:crosses val="autoZero"/>
        <c:crossBetween val="between"/>
      </c:valAx>
      <c:spPr>
        <a:ln>
          <a:noFill/>
        </a:ln>
      </c:spPr>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56294740514947983"/>
          <c:y val="3.8991448649564012E-2"/>
          <c:w val="0.40379954543472024"/>
          <c:h val="0.83616443539926477"/>
        </c:manualLayout>
      </c:layout>
      <c:barChart>
        <c:barDir val="bar"/>
        <c:grouping val="clustered"/>
        <c:ser>
          <c:idx val="0"/>
          <c:order val="0"/>
          <c:tx>
            <c:strRef>
              <c:f>Sheet1!$B$1</c:f>
              <c:strCache>
                <c:ptCount val="1"/>
                <c:pt idx="0">
                  <c:v>Male</c:v>
                </c:pt>
              </c:strCache>
            </c:strRef>
          </c:tx>
          <c:spPr>
            <a:solidFill>
              <a:schemeClr val="tx2">
                <a:lumMod val="40000"/>
                <a:lumOff val="60000"/>
              </a:schemeClr>
            </a:solidFill>
          </c:spPr>
          <c:dLbls>
            <c:dLbl>
              <c:idx val="0"/>
              <c:layout>
                <c:manualLayout>
                  <c:x val="-1.3888888888889119E-2"/>
                  <c:y val="-9.0938102914434795E-18"/>
                </c:manualLayout>
              </c:layout>
              <c:showVal val="1"/>
            </c:dLbl>
            <c:dLbl>
              <c:idx val="1"/>
              <c:layout>
                <c:manualLayout>
                  <c:x val="-1.3888888888889119E-2"/>
                  <c:y val="0"/>
                </c:manualLayout>
              </c:layout>
              <c:showVal val="1"/>
            </c:dLbl>
            <c:dLbl>
              <c:idx val="2"/>
              <c:layout>
                <c:manualLayout>
                  <c:x val="-2.0833333333333412E-2"/>
                  <c:y val="0"/>
                </c:manualLayout>
              </c:layout>
              <c:showVal val="1"/>
            </c:dLbl>
            <c:dLbl>
              <c:idx val="3"/>
              <c:layout>
                <c:manualLayout>
                  <c:x val="-1.8518518518518583E-2"/>
                  <c:y val="0"/>
                </c:manualLayout>
              </c:layout>
              <c:showVal val="1"/>
            </c:dLbl>
            <c:dLbl>
              <c:idx val="4"/>
              <c:layout>
                <c:manualLayout>
                  <c:x val="-1.3888888888889119E-2"/>
                  <c:y val="0"/>
                </c:manualLayout>
              </c:layout>
              <c:showVal val="1"/>
            </c:dLbl>
            <c:dLbl>
              <c:idx val="5"/>
              <c:layout>
                <c:manualLayout>
                  <c:x val="-1.6203703703703703E-2"/>
                  <c:y val="0"/>
                </c:manualLayout>
              </c:layout>
              <c:showVal val="1"/>
            </c:dLbl>
            <c:dLbl>
              <c:idx val="6"/>
              <c:layout>
                <c:manualLayout>
                  <c:x val="-1.3888888888889119E-2"/>
                  <c:y val="0"/>
                </c:manualLayout>
              </c:layout>
              <c:showVal val="1"/>
            </c:dLbl>
            <c:txPr>
              <a:bodyPr/>
              <a:lstStyle/>
              <a:p>
                <a:pPr>
                  <a:defRPr>
                    <a:latin typeface="Arial" pitchFamily="34" charset="0"/>
                    <a:cs typeface="Arial" pitchFamily="34" charset="0"/>
                  </a:defRPr>
                </a:pPr>
                <a:endParaRPr lang="ar-SA"/>
              </a:p>
            </c:txPr>
            <c:showVal val="1"/>
          </c:dLbls>
          <c:cat>
            <c:strRef>
              <c:f>Sheet1!$A$2:$A$8</c:f>
              <c:strCache>
                <c:ptCount val="7"/>
                <c:pt idx="0">
                  <c:v>Courts are the only legitimate/legal party through which conflicts are resolved</c:v>
                </c:pt>
                <c:pt idx="1">
                  <c:v>Laws that courts refer to are clear and comprehensive and take into consideration all the contentious aspects</c:v>
                </c:pt>
                <c:pt idx="2">
                  <c:v>Courts are capable of preventing violence</c:v>
                </c:pt>
                <c:pt idx="3">
                  <c:v>Justice is guaranteed through resorting to courts</c:v>
                </c:pt>
                <c:pt idx="4">
                  <c:v>The formal justice doesn’t discriminate on the basis of gender</c:v>
                </c:pt>
                <c:pt idx="5">
                  <c:v>Non-formal or tribal justice is unfair</c:v>
                </c:pt>
                <c:pt idx="6">
                  <c:v>Non-formal or tribal justice is ineffective</c:v>
                </c:pt>
              </c:strCache>
            </c:strRef>
          </c:cat>
          <c:val>
            <c:numRef>
              <c:f>Sheet1!$B$2:$B$8</c:f>
              <c:numCache>
                <c:formatCode>\ \ 0.0</c:formatCode>
                <c:ptCount val="7"/>
                <c:pt idx="0">
                  <c:v>84.9</c:v>
                </c:pt>
                <c:pt idx="1">
                  <c:v>79.7</c:v>
                </c:pt>
                <c:pt idx="2">
                  <c:v>76.2</c:v>
                </c:pt>
                <c:pt idx="3">
                  <c:v>68.599999999999994</c:v>
                </c:pt>
                <c:pt idx="4">
                  <c:v>67.099999999999994</c:v>
                </c:pt>
                <c:pt idx="5">
                  <c:v>39.1</c:v>
                </c:pt>
                <c:pt idx="6">
                  <c:v>34.5</c:v>
                </c:pt>
              </c:numCache>
            </c:numRef>
          </c:val>
        </c:ser>
        <c:ser>
          <c:idx val="1"/>
          <c:order val="1"/>
          <c:tx>
            <c:strRef>
              <c:f>Sheet1!$C$1</c:f>
              <c:strCache>
                <c:ptCount val="1"/>
                <c:pt idx="0">
                  <c:v>Female</c:v>
                </c:pt>
              </c:strCache>
            </c:strRef>
          </c:tx>
          <c:dLbls>
            <c:dLbl>
              <c:idx val="0"/>
              <c:layout>
                <c:manualLayout>
                  <c:x val="-1.4408099393952243E-2"/>
                  <c:y val="0"/>
                </c:manualLayout>
              </c:layout>
              <c:showVal val="1"/>
            </c:dLbl>
            <c:dLbl>
              <c:idx val="1"/>
              <c:layout>
                <c:manualLayout>
                  <c:x val="-1.6809449292944284E-2"/>
                  <c:y val="0"/>
                </c:manualLayout>
              </c:layout>
              <c:showVal val="1"/>
            </c:dLbl>
            <c:dLbl>
              <c:idx val="2"/>
              <c:layout>
                <c:manualLayout>
                  <c:x val="-1.9210799191936322E-2"/>
                  <c:y val="-8.8601519202111921E-3"/>
                </c:manualLayout>
              </c:layout>
              <c:showVal val="1"/>
            </c:dLbl>
            <c:dLbl>
              <c:idx val="3"/>
              <c:layout>
                <c:manualLayout>
                  <c:x val="-1.6809449292944284E-2"/>
                  <c:y val="-4.4300759601055961E-3"/>
                </c:manualLayout>
              </c:layout>
              <c:showVal val="1"/>
            </c:dLbl>
            <c:dLbl>
              <c:idx val="4"/>
              <c:layout>
                <c:manualLayout>
                  <c:x val="-1.2006749494960202E-2"/>
                  <c:y val="-1.3290227880316788E-2"/>
                </c:manualLayout>
              </c:layout>
              <c:showVal val="1"/>
            </c:dLbl>
            <c:dLbl>
              <c:idx val="5"/>
              <c:layout>
                <c:manualLayout>
                  <c:x val="-1.9210799191936322E-2"/>
                  <c:y val="-4.4300759601055804E-3"/>
                </c:manualLayout>
              </c:layout>
              <c:showVal val="1"/>
            </c:dLbl>
            <c:dLbl>
              <c:idx val="6"/>
              <c:layout>
                <c:manualLayout>
                  <c:x val="-1.6809449292944284E-2"/>
                  <c:y val="-4.4300759601055961E-3"/>
                </c:manualLayout>
              </c:layout>
              <c:showVal val="1"/>
            </c:dLbl>
            <c:txPr>
              <a:bodyPr/>
              <a:lstStyle/>
              <a:p>
                <a:pPr>
                  <a:defRPr>
                    <a:latin typeface="Arial" pitchFamily="34" charset="0"/>
                    <a:cs typeface="Arial" pitchFamily="34" charset="0"/>
                  </a:defRPr>
                </a:pPr>
                <a:endParaRPr lang="ar-SA"/>
              </a:p>
            </c:txPr>
            <c:showVal val="1"/>
          </c:dLbls>
          <c:cat>
            <c:strRef>
              <c:f>Sheet1!$A$2:$A$8</c:f>
              <c:strCache>
                <c:ptCount val="7"/>
                <c:pt idx="0">
                  <c:v>Courts are the only legitimate/legal party through which conflicts are resolved</c:v>
                </c:pt>
                <c:pt idx="1">
                  <c:v>Laws that courts refer to are clear and comprehensive and take into consideration all the contentious aspects</c:v>
                </c:pt>
                <c:pt idx="2">
                  <c:v>Courts are capable of preventing violence</c:v>
                </c:pt>
                <c:pt idx="3">
                  <c:v>Justice is guaranteed through resorting to courts</c:v>
                </c:pt>
                <c:pt idx="4">
                  <c:v>The formal justice doesn’t discriminate on the basis of gender</c:v>
                </c:pt>
                <c:pt idx="5">
                  <c:v>Non-formal or tribal justice is unfair</c:v>
                </c:pt>
                <c:pt idx="6">
                  <c:v>Non-formal or tribal justice is ineffective</c:v>
                </c:pt>
              </c:strCache>
            </c:strRef>
          </c:cat>
          <c:val>
            <c:numRef>
              <c:f>Sheet1!$C$2:$C$8</c:f>
              <c:numCache>
                <c:formatCode>\ \ 0.0</c:formatCode>
                <c:ptCount val="7"/>
                <c:pt idx="0">
                  <c:v>84.6</c:v>
                </c:pt>
                <c:pt idx="1">
                  <c:v>80</c:v>
                </c:pt>
                <c:pt idx="2">
                  <c:v>79.5</c:v>
                </c:pt>
                <c:pt idx="3">
                  <c:v>70.400000000000006</c:v>
                </c:pt>
                <c:pt idx="4">
                  <c:v>68.900000000000006</c:v>
                </c:pt>
                <c:pt idx="5">
                  <c:v>40.800000000000004</c:v>
                </c:pt>
                <c:pt idx="6">
                  <c:v>38.6</c:v>
                </c:pt>
              </c:numCache>
            </c:numRef>
          </c:val>
        </c:ser>
        <c:axId val="53813248"/>
        <c:axId val="53815168"/>
      </c:barChart>
      <c:catAx>
        <c:axId val="53813248"/>
        <c:scaling>
          <c:orientation val="minMax"/>
        </c:scaling>
        <c:axPos val="l"/>
        <c:title>
          <c:tx>
            <c:rich>
              <a:bodyPr/>
              <a:lstStyle/>
              <a:p>
                <a:pPr>
                  <a:defRPr/>
                </a:pPr>
                <a:r>
                  <a:rPr lang="en-US"/>
                  <a:t>Reason</a:t>
                </a:r>
                <a:r>
                  <a:rPr lang="en-US" baseline="0"/>
                  <a:t> for Approaching official Judiciary</a:t>
                </a:r>
                <a:endParaRPr lang="en-US"/>
              </a:p>
            </c:rich>
          </c:tx>
          <c:layout>
            <c:manualLayout>
              <c:xMode val="edge"/>
              <c:yMode val="edge"/>
              <c:x val="1.9119097358037914E-3"/>
              <c:y val="0.18608912546208325"/>
            </c:manualLayout>
          </c:layout>
        </c:title>
        <c:tickLblPos val="nextTo"/>
        <c:txPr>
          <a:bodyPr/>
          <a:lstStyle/>
          <a:p>
            <a:pPr>
              <a:defRPr sz="900">
                <a:latin typeface="Arial" pitchFamily="34" charset="0"/>
                <a:cs typeface="Arial" pitchFamily="34" charset="0"/>
              </a:defRPr>
            </a:pPr>
            <a:endParaRPr lang="ar-SA"/>
          </a:p>
        </c:txPr>
        <c:crossAx val="53815168"/>
        <c:crosses val="autoZero"/>
        <c:auto val="1"/>
        <c:lblAlgn val="ctr"/>
        <c:lblOffset val="100"/>
      </c:catAx>
      <c:valAx>
        <c:axId val="53815168"/>
        <c:scaling>
          <c:orientation val="minMax"/>
        </c:scaling>
        <c:axPos val="b"/>
        <c:title>
          <c:tx>
            <c:rich>
              <a:bodyPr/>
              <a:lstStyle/>
              <a:p>
                <a:pPr>
                  <a:defRPr/>
                </a:pPr>
                <a:r>
                  <a:rPr lang="en-US"/>
                  <a:t>Percentage</a:t>
                </a:r>
              </a:p>
            </c:rich>
          </c:tx>
          <c:layout>
            <c:manualLayout>
              <c:xMode val="edge"/>
              <c:yMode val="edge"/>
              <c:x val="0.59551621483555883"/>
              <c:y val="0.94090728981457961"/>
            </c:manualLayout>
          </c:layout>
        </c:title>
        <c:numFmt formatCode="#,##0" sourceLinked="0"/>
        <c:tickLblPos val="nextTo"/>
        <c:crossAx val="53813248"/>
        <c:crosses val="autoZero"/>
        <c:crossBetween val="between"/>
        <c:majorUnit val="20"/>
      </c:valAx>
    </c:plotArea>
    <c:legend>
      <c:legendPos val="r"/>
      <c:layout>
        <c:manualLayout>
          <c:xMode val="edge"/>
          <c:yMode val="edge"/>
          <c:x val="0.79294297944300585"/>
          <c:y val="4.3654559309118615E-2"/>
          <c:w val="0.17685691134245801"/>
          <c:h val="8.1286258572517131E-2"/>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baseline="0">
          <a:latin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52520890969709866"/>
          <c:y val="8.9620920672587673E-2"/>
          <c:w val="0.45001631552812654"/>
          <c:h val="0.72080202303479401"/>
        </c:manualLayout>
      </c:layout>
      <c:barChart>
        <c:barDir val="bar"/>
        <c:grouping val="clustered"/>
        <c:ser>
          <c:idx val="0"/>
          <c:order val="0"/>
          <c:tx>
            <c:strRef>
              <c:f>Sheet1!$B$1</c:f>
              <c:strCache>
                <c:ptCount val="1"/>
                <c:pt idx="0">
                  <c:v>Male</c:v>
                </c:pt>
              </c:strCache>
            </c:strRef>
          </c:tx>
          <c:spPr>
            <a:solidFill>
              <a:schemeClr val="tx2">
                <a:lumMod val="40000"/>
                <a:lumOff val="60000"/>
              </a:schemeClr>
            </a:solidFill>
          </c:spPr>
          <c:dLbls>
            <c:dLbl>
              <c:idx val="0"/>
              <c:layout>
                <c:manualLayout>
                  <c:x val="-1.8574294894354127E-2"/>
                  <c:y val="0"/>
                </c:manualLayout>
              </c:layout>
              <c:showVal val="1"/>
            </c:dLbl>
            <c:dLbl>
              <c:idx val="1"/>
              <c:layout>
                <c:manualLayout>
                  <c:x val="-1.8574294894354127E-2"/>
                  <c:y val="0"/>
                </c:manualLayout>
              </c:layout>
              <c:showVal val="1"/>
            </c:dLbl>
            <c:dLbl>
              <c:idx val="2"/>
              <c:layout>
                <c:manualLayout>
                  <c:x val="-1.6252508032559863E-2"/>
                  <c:y val="0"/>
                </c:manualLayout>
              </c:layout>
              <c:showVal val="1"/>
            </c:dLbl>
            <c:dLbl>
              <c:idx val="3"/>
              <c:layout>
                <c:manualLayout>
                  <c:x val="-1.8574294894354044E-2"/>
                  <c:y val="0"/>
                </c:manualLayout>
              </c:layout>
              <c:showVal val="1"/>
            </c:dLbl>
            <c:txPr>
              <a:bodyPr/>
              <a:lstStyle/>
              <a:p>
                <a:pPr>
                  <a:defRPr>
                    <a:latin typeface="Arial" pitchFamily="34" charset="0"/>
                    <a:cs typeface="Arial" pitchFamily="34" charset="0"/>
                  </a:defRPr>
                </a:pPr>
                <a:endParaRPr lang="ar-SA"/>
              </a:p>
            </c:txPr>
            <c:showVal val="1"/>
          </c:dLbls>
          <c:cat>
            <c:strRef>
              <c:f>Sheet1!$A$2:$A$5</c:f>
              <c:strCache>
                <c:ptCount val="4"/>
                <c:pt idx="0">
                  <c:v>Court cases take long time to be resolved</c:v>
                </c:pt>
                <c:pt idx="1">
                  <c:v>I would prefer intervention of opponents, acquaintances and friends</c:v>
                </c:pt>
                <c:pt idx="2">
                  <c:v>Tribal and non-formal justice system is quicker</c:v>
                </c:pt>
                <c:pt idx="3">
                  <c:v>Resorting to courts is very expensive and I cannot afford it financially (including lawyers’ fees)</c:v>
                </c:pt>
              </c:strCache>
            </c:strRef>
          </c:cat>
          <c:val>
            <c:numRef>
              <c:f>Sheet1!$B$2:$B$5</c:f>
              <c:numCache>
                <c:formatCode>\ \ 0.0</c:formatCode>
                <c:ptCount val="4"/>
                <c:pt idx="0">
                  <c:v>89</c:v>
                </c:pt>
                <c:pt idx="1">
                  <c:v>87.1</c:v>
                </c:pt>
                <c:pt idx="2">
                  <c:v>81.400000000000006</c:v>
                </c:pt>
                <c:pt idx="3">
                  <c:v>80.2</c:v>
                </c:pt>
              </c:numCache>
            </c:numRef>
          </c:val>
        </c:ser>
        <c:ser>
          <c:idx val="1"/>
          <c:order val="1"/>
          <c:tx>
            <c:strRef>
              <c:f>Sheet1!$C$1</c:f>
              <c:strCache>
                <c:ptCount val="1"/>
                <c:pt idx="0">
                  <c:v>Female</c:v>
                </c:pt>
              </c:strCache>
            </c:strRef>
          </c:tx>
          <c:dLbls>
            <c:dLbl>
              <c:idx val="0"/>
              <c:layout>
                <c:manualLayout>
                  <c:x val="-1.3930721170765608E-2"/>
                  <c:y val="0"/>
                </c:manualLayout>
              </c:layout>
              <c:showVal val="1"/>
            </c:dLbl>
            <c:dLbl>
              <c:idx val="1"/>
              <c:layout>
                <c:manualLayout>
                  <c:x val="-1.6252508032559961E-2"/>
                  <c:y val="0"/>
                </c:manualLayout>
              </c:layout>
              <c:showVal val="1"/>
            </c:dLbl>
            <c:dLbl>
              <c:idx val="2"/>
              <c:layout>
                <c:manualLayout>
                  <c:x val="-1.8574294894354044E-2"/>
                  <c:y val="-5.5059538002786793E-3"/>
                </c:manualLayout>
              </c:layout>
              <c:showVal val="1"/>
            </c:dLbl>
            <c:dLbl>
              <c:idx val="3"/>
              <c:layout>
                <c:manualLayout>
                  <c:x val="-1.6252690850422996E-2"/>
                  <c:y val="0"/>
                </c:manualLayout>
              </c:layout>
              <c:showVal val="1"/>
            </c:dLbl>
            <c:txPr>
              <a:bodyPr/>
              <a:lstStyle/>
              <a:p>
                <a:pPr>
                  <a:defRPr>
                    <a:latin typeface="Arial" pitchFamily="34" charset="0"/>
                    <a:cs typeface="Arial" pitchFamily="34" charset="0"/>
                  </a:defRPr>
                </a:pPr>
                <a:endParaRPr lang="ar-SA"/>
              </a:p>
            </c:txPr>
            <c:showVal val="1"/>
          </c:dLbls>
          <c:cat>
            <c:strRef>
              <c:f>Sheet1!$A$2:$A$5</c:f>
              <c:strCache>
                <c:ptCount val="4"/>
                <c:pt idx="0">
                  <c:v>Court cases take long time to be resolved</c:v>
                </c:pt>
                <c:pt idx="1">
                  <c:v>I would prefer intervention of opponents, acquaintances and friends</c:v>
                </c:pt>
                <c:pt idx="2">
                  <c:v>Tribal and non-formal justice system is quicker</c:v>
                </c:pt>
                <c:pt idx="3">
                  <c:v>Resorting to courts is very expensive and I cannot afford it financially (including lawyers’ fees)</c:v>
                </c:pt>
              </c:strCache>
            </c:strRef>
          </c:cat>
          <c:val>
            <c:numRef>
              <c:f>Sheet1!$C$2:$C$5</c:f>
              <c:numCache>
                <c:formatCode>\ \ 0.0</c:formatCode>
                <c:ptCount val="4"/>
                <c:pt idx="0">
                  <c:v>85.3</c:v>
                </c:pt>
                <c:pt idx="1">
                  <c:v>82.4</c:v>
                </c:pt>
                <c:pt idx="2">
                  <c:v>77.099999999999994</c:v>
                </c:pt>
                <c:pt idx="3">
                  <c:v>76.900000000000006</c:v>
                </c:pt>
              </c:numCache>
            </c:numRef>
          </c:val>
        </c:ser>
        <c:axId val="53775360"/>
        <c:axId val="53781632"/>
      </c:barChart>
      <c:catAx>
        <c:axId val="53775360"/>
        <c:scaling>
          <c:orientation val="minMax"/>
        </c:scaling>
        <c:axPos val="l"/>
        <c:title>
          <c:tx>
            <c:rich>
              <a:bodyPr/>
              <a:lstStyle/>
              <a:p>
                <a:pPr>
                  <a:defRPr>
                    <a:latin typeface="Arial" pitchFamily="34" charset="0"/>
                    <a:cs typeface="Arial" pitchFamily="34" charset="0"/>
                  </a:defRPr>
                </a:pPr>
                <a:r>
                  <a:rPr lang="en-US">
                    <a:latin typeface="Arial" pitchFamily="34" charset="0"/>
                    <a:cs typeface="Arial" pitchFamily="34" charset="0"/>
                  </a:rPr>
                  <a:t>Reason for Not Approaching</a:t>
                </a:r>
                <a:r>
                  <a:rPr lang="en-US" baseline="0">
                    <a:latin typeface="Arial" pitchFamily="34" charset="0"/>
                    <a:cs typeface="Arial" pitchFamily="34" charset="0"/>
                  </a:rPr>
                  <a:t> </a:t>
                </a:r>
                <a:r>
                  <a:rPr lang="en-US">
                    <a:latin typeface="Arial" pitchFamily="34" charset="0"/>
                    <a:cs typeface="Arial" pitchFamily="34" charset="0"/>
                  </a:rPr>
                  <a:t>to</a:t>
                </a:r>
                <a:r>
                  <a:rPr lang="en-US" baseline="0">
                    <a:latin typeface="Arial" pitchFamily="34" charset="0"/>
                    <a:cs typeface="Arial" pitchFamily="34" charset="0"/>
                  </a:rPr>
                  <a:t> Official Judiciary</a:t>
                </a:r>
                <a:endParaRPr lang="en-US">
                  <a:latin typeface="Arial" pitchFamily="34" charset="0"/>
                  <a:cs typeface="Arial" pitchFamily="34" charset="0"/>
                </a:endParaRPr>
              </a:p>
            </c:rich>
          </c:tx>
          <c:layout>
            <c:manualLayout>
              <c:xMode val="edge"/>
              <c:yMode val="edge"/>
              <c:x val="6.7567567567567571E-3"/>
              <c:y val="0.12216157911767879"/>
            </c:manualLayout>
          </c:layout>
        </c:title>
        <c:tickLblPos val="nextTo"/>
        <c:txPr>
          <a:bodyPr/>
          <a:lstStyle/>
          <a:p>
            <a:pPr>
              <a:defRPr baseline="0">
                <a:latin typeface="Arial" pitchFamily="34" charset="0"/>
                <a:cs typeface="Arial" pitchFamily="34" charset="0"/>
              </a:defRPr>
            </a:pPr>
            <a:endParaRPr lang="ar-SA"/>
          </a:p>
        </c:txPr>
        <c:crossAx val="53781632"/>
        <c:crosses val="autoZero"/>
        <c:auto val="1"/>
        <c:lblAlgn val="ctr"/>
        <c:lblOffset val="100"/>
      </c:catAx>
      <c:valAx>
        <c:axId val="53781632"/>
        <c:scaling>
          <c:orientation val="minMax"/>
          <c:max val="95"/>
          <c:min val="70"/>
        </c:scaling>
        <c:axPos val="b"/>
        <c:title>
          <c:tx>
            <c:rich>
              <a:bodyPr/>
              <a:lstStyle/>
              <a:p>
                <a:pPr>
                  <a:defRPr>
                    <a:latin typeface="Arial" pitchFamily="34" charset="0"/>
                    <a:cs typeface="Arial" pitchFamily="34" charset="0"/>
                  </a:defRPr>
                </a:pPr>
                <a:r>
                  <a:rPr lang="en-US">
                    <a:latin typeface="Arial" pitchFamily="34" charset="0"/>
                    <a:cs typeface="Arial" pitchFamily="34" charset="0"/>
                  </a:rPr>
                  <a:t>Percentage</a:t>
                </a:r>
              </a:p>
            </c:rich>
          </c:tx>
          <c:layout>
            <c:manualLayout>
              <c:xMode val="edge"/>
              <c:yMode val="edge"/>
              <c:x val="0.64151769880116338"/>
              <c:y val="0.917322594949602"/>
            </c:manualLayout>
          </c:layout>
        </c:title>
        <c:numFmt formatCode="#,##0" sourceLinked="0"/>
        <c:tickLblPos val="nextTo"/>
        <c:crossAx val="53775360"/>
        <c:crosses val="autoZero"/>
        <c:crossBetween val="between"/>
        <c:majorUnit val="5"/>
      </c:valAx>
    </c:plotArea>
    <c:legend>
      <c:legendPos val="r"/>
      <c:layout>
        <c:manualLayout>
          <c:xMode val="edge"/>
          <c:yMode val="edge"/>
          <c:x val="0.76100819323260271"/>
          <c:y val="5.6122436750200823E-2"/>
          <c:w val="0.21069039511952944"/>
          <c:h val="0.10198012919617924"/>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baseline="0"/>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55695100612423465"/>
          <c:y val="6.4009662389122854E-2"/>
          <c:w val="0.41858600174978317"/>
          <c:h val="0.76664125129155669"/>
        </c:manualLayout>
      </c:layout>
      <c:barChart>
        <c:barDir val="bar"/>
        <c:grouping val="clustered"/>
        <c:ser>
          <c:idx val="0"/>
          <c:order val="0"/>
          <c:tx>
            <c:strRef>
              <c:f>Sheet1!$G$14</c:f>
              <c:strCache>
                <c:ptCount val="1"/>
                <c:pt idx="0">
                  <c:v>Column1</c:v>
                </c:pt>
              </c:strCache>
            </c:strRef>
          </c:tx>
          <c:dLbls>
            <c:showVal val="1"/>
          </c:dLbls>
          <c:cat>
            <c:strRef>
              <c:f>Sheet1!$F$15:$F$19</c:f>
              <c:strCache>
                <c:ptCount val="5"/>
                <c:pt idx="0">
                  <c:v>The situation of the judiciary in Palestine continues to improve</c:v>
                </c:pt>
                <c:pt idx="1">
                  <c:v>Palestinian justice institutions are sensitive to childrens issues</c:v>
                </c:pt>
                <c:pt idx="2">
                  <c:v>Palestinian justice institutions are sensitive to gender </c:v>
                </c:pt>
                <c:pt idx="3">
                  <c:v>Palestinian justice institutions are efficient</c:v>
                </c:pt>
                <c:pt idx="4">
                  <c:v>Verdicts are subject to external influences and pressures</c:v>
                </c:pt>
              </c:strCache>
            </c:strRef>
          </c:cat>
          <c:val>
            <c:numRef>
              <c:f>Sheet1!$G$15:$G$19</c:f>
              <c:numCache>
                <c:formatCode>General</c:formatCode>
                <c:ptCount val="5"/>
                <c:pt idx="0" formatCode="\ \ 0.0">
                  <c:v>60.9</c:v>
                </c:pt>
                <c:pt idx="1">
                  <c:v>59.6</c:v>
                </c:pt>
                <c:pt idx="2">
                  <c:v>58.9</c:v>
                </c:pt>
                <c:pt idx="3" formatCode="\ \ 0.0">
                  <c:v>50.800000000000004</c:v>
                </c:pt>
                <c:pt idx="4" formatCode="\ \ 0.0">
                  <c:v>28.5</c:v>
                </c:pt>
              </c:numCache>
            </c:numRef>
          </c:val>
        </c:ser>
        <c:axId val="54148096"/>
        <c:axId val="54150272"/>
      </c:barChart>
      <c:catAx>
        <c:axId val="54148096"/>
        <c:scaling>
          <c:orientation val="minMax"/>
        </c:scaling>
        <c:axPos val="l"/>
        <c:title>
          <c:tx>
            <c:rich>
              <a:bodyPr/>
              <a:lstStyle/>
              <a:p>
                <a:pPr>
                  <a:defRPr/>
                </a:pPr>
                <a:r>
                  <a:rPr lang="en-US"/>
                  <a:t>The Situation of the Palestinian Justice Bodies</a:t>
                </a:r>
              </a:p>
            </c:rich>
          </c:tx>
          <c:layout>
            <c:manualLayout>
              <c:xMode val="edge"/>
              <c:yMode val="edge"/>
              <c:x val="6.3291338582677145E-3"/>
              <c:y val="9.0333368962364227E-2"/>
            </c:manualLayout>
          </c:layout>
        </c:title>
        <c:tickLblPos val="nextTo"/>
        <c:crossAx val="54150272"/>
        <c:crosses val="autoZero"/>
        <c:auto val="1"/>
        <c:lblAlgn val="ctr"/>
        <c:lblOffset val="100"/>
      </c:catAx>
      <c:valAx>
        <c:axId val="54150272"/>
        <c:scaling>
          <c:orientation val="minMax"/>
        </c:scaling>
        <c:axPos val="b"/>
        <c:title>
          <c:tx>
            <c:rich>
              <a:bodyPr/>
              <a:lstStyle/>
              <a:p>
                <a:pPr>
                  <a:defRPr/>
                </a:pPr>
                <a:r>
                  <a:rPr lang="en-US"/>
                  <a:t>Percentage</a:t>
                </a:r>
              </a:p>
            </c:rich>
          </c:tx>
          <c:layout>
            <c:manualLayout>
              <c:xMode val="edge"/>
              <c:yMode val="edge"/>
              <c:x val="0.62899405074365888"/>
              <c:y val="0.91804040332062564"/>
            </c:manualLayout>
          </c:layout>
        </c:title>
        <c:numFmt formatCode="#,##0" sourceLinked="0"/>
        <c:tickLblPos val="nextTo"/>
        <c:crossAx val="54148096"/>
        <c:crosses val="autoZero"/>
        <c:crossBetween val="between"/>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0860985334345952"/>
          <c:y val="0.14637779690118322"/>
          <c:w val="0.87877719246284425"/>
          <c:h val="0.64134978972963119"/>
        </c:manualLayout>
      </c:layout>
      <c:barChart>
        <c:barDir val="col"/>
        <c:grouping val="clustered"/>
        <c:ser>
          <c:idx val="0"/>
          <c:order val="0"/>
          <c:tx>
            <c:strRef>
              <c:f>Sheet1!$B$1</c:f>
              <c:strCache>
                <c:ptCount val="1"/>
                <c:pt idx="0">
                  <c:v>Both Sexes</c:v>
                </c:pt>
              </c:strCache>
            </c:strRef>
          </c:tx>
          <c:spPr>
            <a:solidFill>
              <a:schemeClr val="tx2">
                <a:lumMod val="40000"/>
                <a:lumOff val="60000"/>
              </a:schemeClr>
            </a:solidFill>
          </c:spPr>
          <c:dLbls>
            <c:txPr>
              <a:bodyPr/>
              <a:lstStyle/>
              <a:p>
                <a:pPr>
                  <a:defRPr>
                    <a:latin typeface="Arial" pitchFamily="34" charset="0"/>
                    <a:cs typeface="Arial" pitchFamily="34" charset="0"/>
                  </a:defRPr>
                </a:pPr>
                <a:endParaRPr lang="ar-SA"/>
              </a:p>
            </c:txPr>
            <c:showVal val="1"/>
          </c:dLbls>
          <c:cat>
            <c:strRef>
              <c:f>Sheet1!$A$2:$A$3</c:f>
              <c:strCache>
                <c:ptCount val="2"/>
                <c:pt idx="0">
                  <c:v>Number of Female judges</c:v>
                </c:pt>
                <c:pt idx="1">
                  <c:v>Number of Female in high positions </c:v>
                </c:pt>
              </c:strCache>
            </c:strRef>
          </c:cat>
          <c:val>
            <c:numRef>
              <c:f>Sheet1!$B$2:$B$3</c:f>
              <c:numCache>
                <c:formatCode>\ \ 0.0</c:formatCode>
                <c:ptCount val="2"/>
                <c:pt idx="0">
                  <c:v>75.2</c:v>
                </c:pt>
                <c:pt idx="1">
                  <c:v>67.2</c:v>
                </c:pt>
              </c:numCache>
            </c:numRef>
          </c:val>
        </c:ser>
        <c:ser>
          <c:idx val="1"/>
          <c:order val="1"/>
          <c:tx>
            <c:strRef>
              <c:f>Sheet1!$C$1</c:f>
              <c:strCache>
                <c:ptCount val="1"/>
                <c:pt idx="0">
                  <c:v>Male</c:v>
                </c:pt>
              </c:strCache>
            </c:strRef>
          </c:tx>
          <c:dLbls>
            <c:txPr>
              <a:bodyPr/>
              <a:lstStyle/>
              <a:p>
                <a:pPr>
                  <a:defRPr>
                    <a:latin typeface="Arial" pitchFamily="34" charset="0"/>
                    <a:cs typeface="Arial" pitchFamily="34" charset="0"/>
                  </a:defRPr>
                </a:pPr>
                <a:endParaRPr lang="ar-SA"/>
              </a:p>
            </c:txPr>
            <c:showVal val="1"/>
          </c:dLbls>
          <c:cat>
            <c:strRef>
              <c:f>Sheet1!$A$2:$A$3</c:f>
              <c:strCache>
                <c:ptCount val="2"/>
                <c:pt idx="0">
                  <c:v>Number of Female judges</c:v>
                </c:pt>
                <c:pt idx="1">
                  <c:v>Number of Female in high positions </c:v>
                </c:pt>
              </c:strCache>
            </c:strRef>
          </c:cat>
          <c:val>
            <c:numRef>
              <c:f>Sheet1!$C$2:$C$3</c:f>
              <c:numCache>
                <c:formatCode>General</c:formatCode>
                <c:ptCount val="2"/>
                <c:pt idx="0">
                  <c:v>80.8</c:v>
                </c:pt>
                <c:pt idx="1">
                  <c:v>76.2</c:v>
                </c:pt>
              </c:numCache>
            </c:numRef>
          </c:val>
        </c:ser>
        <c:ser>
          <c:idx val="2"/>
          <c:order val="2"/>
          <c:tx>
            <c:strRef>
              <c:f>Sheet1!$D$1</c:f>
              <c:strCache>
                <c:ptCount val="1"/>
                <c:pt idx="0">
                  <c:v>Female</c:v>
                </c:pt>
              </c:strCache>
            </c:strRef>
          </c:tx>
          <c:dLbls>
            <c:showVal val="1"/>
          </c:dLbls>
          <c:cat>
            <c:strRef>
              <c:f>Sheet1!$A$2:$A$3</c:f>
              <c:strCache>
                <c:ptCount val="2"/>
                <c:pt idx="0">
                  <c:v>Number of Female judges</c:v>
                </c:pt>
                <c:pt idx="1">
                  <c:v>Number of Female in high positions </c:v>
                </c:pt>
              </c:strCache>
            </c:strRef>
          </c:cat>
          <c:val>
            <c:numRef>
              <c:f>Sheet1!$D$2:$D$3</c:f>
              <c:numCache>
                <c:formatCode>General</c:formatCode>
                <c:ptCount val="2"/>
                <c:pt idx="0">
                  <c:v>56.5</c:v>
                </c:pt>
                <c:pt idx="1">
                  <c:v>38.300000000000011</c:v>
                </c:pt>
              </c:numCache>
            </c:numRef>
          </c:val>
        </c:ser>
        <c:axId val="54217344"/>
        <c:axId val="54231808"/>
      </c:barChart>
      <c:catAx>
        <c:axId val="54217344"/>
        <c:scaling>
          <c:orientation val="minMax"/>
        </c:scaling>
        <c:axPos val="b"/>
        <c:title>
          <c:tx>
            <c:rich>
              <a:bodyPr/>
              <a:lstStyle/>
              <a:p>
                <a:pPr>
                  <a:defRPr/>
                </a:pPr>
                <a:r>
                  <a:rPr lang="en-US"/>
                  <a:t>Gender Equality</a:t>
                </a:r>
              </a:p>
            </c:rich>
          </c:tx>
          <c:layout>
            <c:manualLayout>
              <c:xMode val="edge"/>
              <c:yMode val="edge"/>
              <c:x val="0.42406404928550923"/>
              <c:y val="0.92643267964202958"/>
            </c:manualLayout>
          </c:layout>
        </c:title>
        <c:tickLblPos val="nextTo"/>
        <c:txPr>
          <a:bodyPr/>
          <a:lstStyle/>
          <a:p>
            <a:pPr>
              <a:defRPr>
                <a:latin typeface="Arial" pitchFamily="34" charset="0"/>
                <a:cs typeface="Arial" pitchFamily="34" charset="0"/>
              </a:defRPr>
            </a:pPr>
            <a:endParaRPr lang="ar-SA"/>
          </a:p>
        </c:txPr>
        <c:crossAx val="54231808"/>
        <c:crosses val="autoZero"/>
        <c:auto val="1"/>
        <c:lblAlgn val="ctr"/>
        <c:lblOffset val="100"/>
      </c:catAx>
      <c:valAx>
        <c:axId val="54231808"/>
        <c:scaling>
          <c:orientation val="minMax"/>
        </c:scaling>
        <c:axPos val="l"/>
        <c:title>
          <c:tx>
            <c:rich>
              <a:bodyPr rot="-5400000" vert="horz"/>
              <a:lstStyle/>
              <a:p>
                <a:pPr>
                  <a:defRPr/>
                </a:pPr>
                <a:r>
                  <a:rPr lang="en-US"/>
                  <a:t>Percentage</a:t>
                </a:r>
              </a:p>
            </c:rich>
          </c:tx>
          <c:layout>
            <c:manualLayout>
              <c:xMode val="edge"/>
              <c:yMode val="edge"/>
              <c:x val="6.7340067340067424E-3"/>
              <c:y val="0.33010147353628172"/>
            </c:manualLayout>
          </c:layout>
        </c:title>
        <c:numFmt formatCode="#,##0" sourceLinked="0"/>
        <c:tickLblPos val="nextTo"/>
        <c:crossAx val="54217344"/>
        <c:crosses val="autoZero"/>
        <c:crossBetween val="between"/>
      </c:valAx>
    </c:plotArea>
    <c:legend>
      <c:legendPos val="r"/>
      <c:layout>
        <c:manualLayout>
          <c:xMode val="edge"/>
          <c:yMode val="edge"/>
          <c:x val="0.59081837937550441"/>
          <c:y val="4.0322487410835384E-2"/>
          <c:w val="0.3969848918063722"/>
          <c:h val="9.3593770902802909E-2"/>
        </c:manualLayout>
      </c:layout>
      <c:spPr>
        <a:ln>
          <a:solidFill>
            <a:schemeClr val="tx1"/>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baseline="0">
          <a:solidFill>
            <a:sysClr val="windowText" lastClr="000000"/>
          </a:solidFill>
          <a:latin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C4FB5-AD74-43FB-A9DF-9C3D776F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22</Pages>
  <Words>5759</Words>
  <Characters>30664</Characters>
  <Application>Microsoft Office Word</Application>
  <DocSecurity>0</DocSecurity>
  <Lines>255</Lines>
  <Paragraphs>72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36351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lamro</cp:lastModifiedBy>
  <cp:revision>31</cp:revision>
  <cp:lastPrinted>2019-02-19T10:27:00Z</cp:lastPrinted>
  <dcterms:created xsi:type="dcterms:W3CDTF">2019-03-03T07:52:00Z</dcterms:created>
  <dcterms:modified xsi:type="dcterms:W3CDTF">2019-03-20T12:15:00Z</dcterms:modified>
</cp:coreProperties>
</file>